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988"/>
        <w:gridCol w:w="1683"/>
        <w:gridCol w:w="3359"/>
        <w:gridCol w:w="3499"/>
        <w:gridCol w:w="2924"/>
      </w:tblGrid>
      <w:tr w:rsidR="002E6234" w:rsidRPr="0085058A" w:rsidTr="000A0F2B">
        <w:trPr>
          <w:trHeight w:val="592"/>
          <w:jc w:val="center"/>
        </w:trPr>
        <w:tc>
          <w:tcPr>
            <w:tcW w:w="13994" w:type="dxa"/>
            <w:gridSpan w:val="6"/>
          </w:tcPr>
          <w:p w:rsidR="002E6234" w:rsidRPr="0085058A" w:rsidRDefault="002E6234" w:rsidP="006A3C51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5058A">
              <w:rPr>
                <w:rFonts w:ascii="Times New Roman" w:hAnsi="Times New Roman" w:cs="Times New Roman"/>
                <w:b/>
                <w:lang w:eastAsia="pl-PL"/>
              </w:rPr>
              <w:t xml:space="preserve">Uwagi do </w:t>
            </w:r>
            <w:r w:rsidRPr="0085058A">
              <w:rPr>
                <w:rFonts w:ascii="Times New Roman" w:hAnsi="Times New Roman" w:cs="Times New Roman"/>
                <w:b/>
                <w:i/>
                <w:lang w:eastAsia="pl-PL"/>
              </w:rPr>
              <w:t>projektu ustawy o niektórych umowach zawieranych elektronicznie (UD230)</w:t>
            </w:r>
          </w:p>
        </w:tc>
      </w:tr>
      <w:tr w:rsidR="00C06F5A" w:rsidRPr="0085058A" w:rsidTr="008823F2">
        <w:trPr>
          <w:trHeight w:val="592"/>
          <w:jc w:val="center"/>
        </w:trPr>
        <w:tc>
          <w:tcPr>
            <w:tcW w:w="534" w:type="dxa"/>
            <w:shd w:val="clear" w:color="auto" w:fill="92D050"/>
            <w:vAlign w:val="center"/>
          </w:tcPr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t>Lp</w:t>
            </w:r>
            <w:r w:rsidRPr="00850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shd w:val="clear" w:color="auto" w:fill="92D050"/>
            <w:vAlign w:val="center"/>
          </w:tcPr>
          <w:p w:rsidR="00C06F5A" w:rsidRPr="0085058A" w:rsidRDefault="00C06F5A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Jednostka redakcyjna, której uwaga dotyczy/ </w:t>
            </w:r>
          </w:p>
          <w:p w:rsidR="00C06F5A" w:rsidRPr="0085058A" w:rsidRDefault="00C06F5A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pkt Uzasadnienia/</w:t>
            </w:r>
          </w:p>
          <w:p w:rsidR="00C06F5A" w:rsidRPr="0085058A" w:rsidRDefault="00C06F5A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pkt OSR</w:t>
            </w:r>
          </w:p>
        </w:tc>
        <w:tc>
          <w:tcPr>
            <w:tcW w:w="1676" w:type="dxa"/>
            <w:shd w:val="clear" w:color="auto" w:fill="92D050"/>
            <w:vAlign w:val="center"/>
          </w:tcPr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Podmiot zgłaszający</w:t>
            </w:r>
          </w:p>
        </w:tc>
        <w:tc>
          <w:tcPr>
            <w:tcW w:w="3523" w:type="dxa"/>
            <w:shd w:val="clear" w:color="auto" w:fill="92D050"/>
          </w:tcPr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Uwaga</w:t>
            </w:r>
          </w:p>
        </w:tc>
        <w:tc>
          <w:tcPr>
            <w:tcW w:w="3518" w:type="dxa"/>
            <w:shd w:val="clear" w:color="auto" w:fill="92D050"/>
            <w:vAlign w:val="center"/>
          </w:tcPr>
          <w:p w:rsidR="00C06F5A" w:rsidRPr="0085058A" w:rsidRDefault="00C06F5A" w:rsidP="00917097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Propozycja zmian przepisu</w:t>
            </w:r>
          </w:p>
        </w:tc>
        <w:tc>
          <w:tcPr>
            <w:tcW w:w="3058" w:type="dxa"/>
            <w:shd w:val="clear" w:color="auto" w:fill="92D050"/>
          </w:tcPr>
          <w:p w:rsidR="00C06F5A" w:rsidRPr="0085058A" w:rsidRDefault="00C06F5A" w:rsidP="009170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9170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9170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F5A" w:rsidRPr="0085058A" w:rsidRDefault="00C06F5A" w:rsidP="00C06F5A">
            <w:pPr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Odniesienie się do uwag</w:t>
            </w:r>
          </w:p>
        </w:tc>
      </w:tr>
      <w:tr w:rsidR="003346CB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3346CB" w:rsidRPr="0085058A" w:rsidRDefault="003346CB" w:rsidP="00334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Rzecznik Małych i Średnich Przedsiębiorców</w:t>
            </w:r>
          </w:p>
        </w:tc>
      </w:tr>
      <w:tr w:rsidR="00C06F5A" w:rsidRPr="0085058A" w:rsidTr="00CA65BD">
        <w:trPr>
          <w:jc w:val="center"/>
        </w:trPr>
        <w:tc>
          <w:tcPr>
            <w:tcW w:w="534" w:type="dxa"/>
          </w:tcPr>
          <w:p w:rsidR="00C06F5A" w:rsidRPr="0085058A" w:rsidRDefault="00C06F5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Art. 12 / </w:t>
            </w:r>
          </w:p>
          <w:p w:rsidR="00C06F5A" w:rsidRPr="0085058A" w:rsidRDefault="00C06F5A" w:rsidP="004A28E0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Uzasadnienie dla art. 12</w:t>
            </w:r>
          </w:p>
        </w:tc>
        <w:tc>
          <w:tcPr>
            <w:tcW w:w="1676" w:type="dxa"/>
            <w:vAlign w:val="center"/>
          </w:tcPr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Rzecznik Małych i Średnich Przedsiębiorców</w:t>
            </w:r>
          </w:p>
        </w:tc>
        <w:tc>
          <w:tcPr>
            <w:tcW w:w="3523" w:type="dxa"/>
          </w:tcPr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Przepis art. 12 projektowanej ustawy przewiduje, że właściwy minister będzie umożliwiał określonym w tym przepisie podmiotom dostęp do Systemu. Tymczasem w uzasadnieniu Projektu (str. 17) wskazano jedynie, że projektowany przepis zapewnia tym podmiotom dostęp do dokumentacji pracowniczej. Proszę w związku z tym o wyjaśnienie, jaki będzie zakres zastosowania art. 12 Projektu, w szczególności czy przepis ten przewiduje przyznanie wymienionym w nim podmiotom szerszych uprawnień, niż tylko prawo do wglądu do danych wprowadzonych do Systemu. </w:t>
            </w: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Logicznym wydaje się, że nowy pracodawca albo zarządca sukcesyjni powinni mieć takie same uprawnienia jak dotychczasowy pracodawca, niemniej jednak nie potwierdza tego uzasadnienie Projektu. Jeżeli tak nie jest, to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uzasadnienie dotyczące art. 12 projektowanej ustawy powinno zawierać wskazanie przyczyn, z powodu których uprawnienia przyznane nowemu pracodawcy lub zarządcy sukcesyjnemu będą miały ograniczony (węższy) charakter. </w:t>
            </w: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vAlign w:val="center"/>
          </w:tcPr>
          <w:p w:rsidR="00C06F5A" w:rsidRPr="0085058A" w:rsidRDefault="00C06F5A" w:rsidP="004F7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C06F5A" w:rsidRPr="0085058A" w:rsidRDefault="00815D03" w:rsidP="004F7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uwzględniona. </w:t>
            </w:r>
          </w:p>
          <w:p w:rsidR="00815D03" w:rsidRPr="0085058A" w:rsidRDefault="00815D03" w:rsidP="004F7F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</w:rPr>
              <w:t>Uzupełniono uzasadnienie we wskazanym zakresie. Nowy pracodawca albo zarządca sukcesyjny będzie miał takie same uprawnienia jak dotychczasowy pracodawca.</w:t>
            </w:r>
          </w:p>
        </w:tc>
      </w:tr>
      <w:tr w:rsidR="00C06F5A" w:rsidRPr="0085058A" w:rsidTr="00CA65BD">
        <w:trPr>
          <w:jc w:val="center"/>
        </w:trPr>
        <w:tc>
          <w:tcPr>
            <w:tcW w:w="534" w:type="dxa"/>
          </w:tcPr>
          <w:p w:rsidR="00C06F5A" w:rsidRPr="0085058A" w:rsidRDefault="00C06F5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06F5A" w:rsidRPr="0085058A" w:rsidRDefault="00C06F5A" w:rsidP="005A1E5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Art. 12 pkt 2, </w:t>
            </w:r>
          </w:p>
          <w:p w:rsidR="00C06F5A" w:rsidRPr="0085058A" w:rsidRDefault="00C06F5A" w:rsidP="005A1E5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Art. 1 ust. 3 pkt 1 lit. a </w:t>
            </w:r>
          </w:p>
          <w:p w:rsidR="00C06F5A" w:rsidRPr="0085058A" w:rsidRDefault="00C06F5A" w:rsidP="005A1E5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4 ust. 1 pkt 1</w:t>
            </w:r>
          </w:p>
        </w:tc>
        <w:tc>
          <w:tcPr>
            <w:tcW w:w="1676" w:type="dxa"/>
            <w:vAlign w:val="center"/>
          </w:tcPr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Rzecznik Małych i Średnich Przedsiębiorców</w:t>
            </w:r>
          </w:p>
        </w:tc>
        <w:tc>
          <w:tcPr>
            <w:tcW w:w="3523" w:type="dxa"/>
          </w:tcPr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Z przepisów projektowanej ustawy nie wynika w sposób jednoznaczny, czy zarządca sukcesyjny zarządzający przedsiębiorstwem wchodzącym w skład spadku po zmarłym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mikroprzedsiębiorcy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będzie uprawniony do zawierania nowych umów za pośrednictwem Systemu.</w:t>
            </w: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Przepis art. 31 ust. 2 ustawa z dnia 5 lipca 2018 r. </w:t>
            </w:r>
            <w:r w:rsidRPr="0085058A">
              <w:rPr>
                <w:rFonts w:ascii="Times New Roman" w:hAnsi="Times New Roman" w:cs="Times New Roman"/>
              </w:rPr>
              <w:br/>
            </w:r>
            <w:r w:rsidRPr="0085058A">
              <w:rPr>
                <w:rFonts w:ascii="Times New Roman" w:hAnsi="Times New Roman" w:cs="Times New Roman"/>
                <w:i/>
                <w:iCs/>
              </w:rPr>
              <w:t>o zarządzie sukcesyjnym przedsiębiorstwem osoby fizycznej i innych ułatwieniach związanych z sukcesją przedsiębiorstw</w:t>
            </w:r>
            <w:r w:rsidRPr="008505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058A">
              <w:rPr>
                <w:rFonts w:ascii="Times New Roman" w:hAnsi="Times New Roman" w:cs="Times New Roman"/>
              </w:rPr>
              <w:t>t.j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. Dz. U. z 2021 r. poz. 170) stanowi co prawda, że w okresie od chwili śmierci przedsiębiorcy do dnia wygaśnięcia zarządu sukcesyjnego uprawnienia </w:t>
            </w:r>
            <w:r w:rsidRPr="0085058A">
              <w:rPr>
                <w:rFonts w:ascii="Times New Roman" w:hAnsi="Times New Roman" w:cs="Times New Roman"/>
              </w:rPr>
              <w:br/>
              <w:t xml:space="preserve">i obowiązki pracodawcy wykonuje zarządca sukcesyjny, a w przypadku jego braku - osoby, o których mowa w art. 14 tej ustawy. Mogą jednak pojawić się interpretacje, wedle których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zarządca sukcesyjny nie będzie uprawniony do zawierania nowych umów za pośrednictwem </w:t>
            </w:r>
            <w:r w:rsidRPr="0085058A">
              <w:rPr>
                <w:rFonts w:ascii="Times New Roman" w:hAnsi="Times New Roman" w:cs="Times New Roman"/>
                <w:b/>
              </w:rPr>
              <w:t xml:space="preserve">Systemu ze względu na okoliczność, że sam zarządca sukcesyjny nie jest </w:t>
            </w:r>
            <w:proofErr w:type="spellStart"/>
            <w:r w:rsidRPr="0085058A">
              <w:rPr>
                <w:rFonts w:ascii="Times New Roman" w:hAnsi="Times New Roman" w:cs="Times New Roman"/>
                <w:b/>
              </w:rPr>
              <w:t>mikroprzedsiębiorcą</w:t>
            </w:r>
            <w:proofErr w:type="spellEnd"/>
            <w:r w:rsidRPr="0085058A">
              <w:rPr>
                <w:rFonts w:ascii="Times New Roman" w:hAnsi="Times New Roman" w:cs="Times New Roman"/>
                <w:b/>
              </w:rPr>
              <w:t xml:space="preserve">, a jedynie wykonuje uprawnienia takiego podmiotu. </w:t>
            </w:r>
          </w:p>
          <w:p w:rsidR="00C06F5A" w:rsidRPr="0085058A" w:rsidRDefault="00C06F5A" w:rsidP="003346CB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W celu uniknięcia niepotrzebnych wątpliwości w tym zakresie zasadnym jawi się uzupełnienie przepisów projektowanej ustawy o zapis rozstrzygający tę kwestie w sposób jednoznaczny, np. poprzez dodanie do projektowanego art. 12 ustępu drugiego zawierającego stosowne postanowienie. </w:t>
            </w:r>
          </w:p>
        </w:tc>
        <w:tc>
          <w:tcPr>
            <w:tcW w:w="3518" w:type="dxa"/>
            <w:vAlign w:val="center"/>
          </w:tcPr>
          <w:p w:rsidR="00C06F5A" w:rsidRPr="0085058A" w:rsidRDefault="00C06F5A" w:rsidP="008903E4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lastRenderedPageBreak/>
              <w:t>Art. 12.</w:t>
            </w:r>
            <w:r w:rsidRPr="0085058A">
              <w:rPr>
                <w:rFonts w:ascii="Times New Roman" w:hAnsi="Times New Roman" w:cs="Times New Roman"/>
              </w:rPr>
              <w:t xml:space="preserve"> 1. Minister właściwy do spraw pracy lub upoważniona przez niego osoba, umożliwia dostęp do Systemu w przypadku:</w:t>
            </w:r>
            <w:bookmarkStart w:id="0" w:name="mip55176314"/>
            <w:bookmarkEnd w:id="0"/>
          </w:p>
          <w:p w:rsidR="00C06F5A" w:rsidRPr="0085058A" w:rsidRDefault="00C06F5A" w:rsidP="008903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>1) o którym mowa w art. 23</w:t>
            </w:r>
            <w:r w:rsidRPr="0085058A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Pr="0085058A">
              <w:rPr>
                <w:rFonts w:ascii="Times New Roman" w:hAnsi="Times New Roman" w:cs="Times New Roman"/>
                <w:bCs/>
              </w:rPr>
              <w:t xml:space="preserve"> </w:t>
            </w:r>
            <w:bookmarkStart w:id="1" w:name="mip55176315"/>
            <w:bookmarkEnd w:id="1"/>
            <w:r w:rsidRPr="0085058A">
              <w:rPr>
                <w:rFonts w:ascii="Times New Roman" w:hAnsi="Times New Roman" w:cs="Times New Roman"/>
                <w:bCs/>
              </w:rPr>
              <w:t>ustawy z dnia 26 czerwca 1974 r. – Kodeksu pracy – nowemu pracodawcy;</w:t>
            </w:r>
          </w:p>
          <w:p w:rsidR="00C06F5A" w:rsidRPr="0085058A" w:rsidRDefault="00C06F5A" w:rsidP="008903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>2) śmierci pracodawcy – zarządcy sukcesyjnemu, o którym mowa w ustawie z dnia 5 lipca 2018 r. o zarządzie sukcesyjnym przedsiębiorstwem osoby fizycznej i innych ułatwieniach związanych z sukcesją przedsiębiorstw (Dz. U. z 2021 r. poz. 170), albo osobie, o której mowa w art. 14 ust. 1 tej ustawy.</w:t>
            </w:r>
          </w:p>
          <w:p w:rsidR="00C06F5A" w:rsidRPr="0085058A" w:rsidRDefault="00C06F5A" w:rsidP="008903E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06F5A" w:rsidRPr="0085058A" w:rsidRDefault="00C06F5A" w:rsidP="004A28E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2. W sprawach wynikających z prowadzenia przedsiębiorstwa w spadku po pracodawcy będącym </w:t>
            </w:r>
            <w:proofErr w:type="spellStart"/>
            <w:r w:rsidRPr="0085058A">
              <w:rPr>
                <w:rFonts w:ascii="Times New Roman" w:hAnsi="Times New Roman" w:cs="Times New Roman"/>
                <w:b/>
              </w:rPr>
              <w:t>mikroprzedsiębiorcą</w:t>
            </w:r>
            <w:proofErr w:type="spellEnd"/>
            <w:r w:rsidRPr="0085058A">
              <w:rPr>
                <w:rFonts w:ascii="Times New Roman" w:hAnsi="Times New Roman" w:cs="Times New Roman"/>
                <w:b/>
              </w:rPr>
              <w:t xml:space="preserve">, osoby wymienione w ust. 1 pkt 2 mogą zawierać nowe umowy za pośrednictwem Systemu na takich samych zasadach, jak </w:t>
            </w:r>
            <w:proofErr w:type="spellStart"/>
            <w:r w:rsidRPr="0085058A">
              <w:rPr>
                <w:rFonts w:ascii="Times New Roman" w:hAnsi="Times New Roman" w:cs="Times New Roman"/>
                <w:b/>
              </w:rPr>
              <w:t>mikroprzedsiębiorcy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58" w:type="dxa"/>
          </w:tcPr>
          <w:p w:rsidR="00415066" w:rsidRPr="0085058A" w:rsidRDefault="00415066" w:rsidP="00415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uwzględniona. </w:t>
            </w:r>
          </w:p>
          <w:p w:rsidR="00C06F5A" w:rsidRDefault="008823F2" w:rsidP="008903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Nowe brzmienie: 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Pr="008823F2">
              <w:rPr>
                <w:rFonts w:ascii="Times New Roman" w:hAnsi="Times New Roman" w:cs="Times New Roman"/>
                <w:i/>
              </w:rPr>
              <w:t>Art. 12. 1. Minister właściwy do spraw pracy lub upoważniona przez niego osoba, umożliwia dostęp do Systemu w przypadku: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23F2">
              <w:rPr>
                <w:rFonts w:ascii="Times New Roman" w:hAnsi="Times New Roman" w:cs="Times New Roman"/>
                <w:i/>
              </w:rPr>
              <w:t>1)</w:t>
            </w:r>
            <w:r w:rsidRPr="008823F2">
              <w:rPr>
                <w:rFonts w:ascii="Times New Roman" w:hAnsi="Times New Roman" w:cs="Times New Roman"/>
                <w:i/>
              </w:rPr>
              <w:tab/>
              <w:t>o którym mowa w art. 231 ustawy z dnia 26 czerwca 1974 r. – Kodeksu pracy – nowemu pracodawcy;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23F2">
              <w:rPr>
                <w:rFonts w:ascii="Times New Roman" w:hAnsi="Times New Roman" w:cs="Times New Roman"/>
                <w:i/>
              </w:rPr>
              <w:t>2)</w:t>
            </w:r>
            <w:r w:rsidRPr="008823F2">
              <w:rPr>
                <w:rFonts w:ascii="Times New Roman" w:hAnsi="Times New Roman" w:cs="Times New Roman"/>
                <w:i/>
              </w:rPr>
              <w:tab/>
              <w:t>śmierci pracodawcy – zarządcy sukcesyjnemu, o którym mowa w ustawie z dnia 5 lipca 2018 r. o zarządzie sukcesyjnym przedsiębiorstwem osoby fizycznej i innych ułatwieniach związanych z sukcesją przedsiębiorstw (Dz. U. z 2021 r. poz. 170), albo osobie, o której mowa w art. 14  tej ustawy.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23F2">
              <w:rPr>
                <w:rFonts w:ascii="Times New Roman" w:hAnsi="Times New Roman" w:cs="Times New Roman"/>
                <w:i/>
              </w:rPr>
              <w:t xml:space="preserve">2. W sprawach wynikających z prowadzenia przedsiębiorstwa w spadku po pracodawcy będącym </w:t>
            </w:r>
            <w:proofErr w:type="spellStart"/>
            <w:r w:rsidRPr="008823F2">
              <w:rPr>
                <w:rFonts w:ascii="Times New Roman" w:hAnsi="Times New Roman" w:cs="Times New Roman"/>
                <w:i/>
              </w:rPr>
              <w:t>mikroprzedsiębiorcą</w:t>
            </w:r>
            <w:proofErr w:type="spellEnd"/>
            <w:r w:rsidRPr="008823F2">
              <w:rPr>
                <w:rFonts w:ascii="Times New Roman" w:hAnsi="Times New Roman" w:cs="Times New Roman"/>
                <w:i/>
              </w:rPr>
              <w:t xml:space="preserve">, </w:t>
            </w:r>
            <w:r w:rsidRPr="008823F2">
              <w:rPr>
                <w:rFonts w:ascii="Times New Roman" w:hAnsi="Times New Roman" w:cs="Times New Roman"/>
                <w:i/>
              </w:rPr>
              <w:lastRenderedPageBreak/>
              <w:t xml:space="preserve">osoby wymienione w ust. 1 pkt 2 mogą zawierać nowe umowy za pośrednictwem Systemu na takich samych zasadach, jak </w:t>
            </w:r>
            <w:proofErr w:type="spellStart"/>
            <w:r w:rsidRPr="008823F2">
              <w:rPr>
                <w:rFonts w:ascii="Times New Roman" w:hAnsi="Times New Roman" w:cs="Times New Roman"/>
                <w:i/>
              </w:rPr>
              <w:t>mikroprzedsiębiorcy</w:t>
            </w:r>
            <w:proofErr w:type="spellEnd"/>
            <w:r w:rsidRPr="008823F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”. </w:t>
            </w:r>
          </w:p>
        </w:tc>
      </w:tr>
      <w:tr w:rsidR="00C06F5A" w:rsidRPr="0085058A" w:rsidTr="00CA65BD">
        <w:trPr>
          <w:jc w:val="center"/>
        </w:trPr>
        <w:tc>
          <w:tcPr>
            <w:tcW w:w="534" w:type="dxa"/>
          </w:tcPr>
          <w:p w:rsidR="00C06F5A" w:rsidRPr="0085058A" w:rsidRDefault="00C06F5A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06F5A" w:rsidRPr="0085058A" w:rsidRDefault="00C06F5A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13</w:t>
            </w:r>
          </w:p>
        </w:tc>
        <w:tc>
          <w:tcPr>
            <w:tcW w:w="1676" w:type="dxa"/>
            <w:vAlign w:val="center"/>
          </w:tcPr>
          <w:p w:rsidR="00C06F5A" w:rsidRPr="0085058A" w:rsidRDefault="00C06F5A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Rzecznik Małych i Średnich Przedsiębiorców</w:t>
            </w:r>
          </w:p>
        </w:tc>
        <w:tc>
          <w:tcPr>
            <w:tcW w:w="3523" w:type="dxa"/>
          </w:tcPr>
          <w:p w:rsidR="00C06F5A" w:rsidRPr="0085058A" w:rsidRDefault="00C06F5A" w:rsidP="00AE1C52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Przepis art. 13 ust. 2 projektowanej ustawy stanowi, że w przypadku utraty przez pracodawcę, zleceniodawcę, albo rolnika w trakcie trwania umowy statusu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mikroprzedsiębiorcy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lub rolnika, umowa taka będzie nadal obsługiwana w Systemie. </w:t>
            </w:r>
            <w:r w:rsidRPr="0085058A">
              <w:rPr>
                <w:rFonts w:ascii="Times New Roman" w:hAnsi="Times New Roman" w:cs="Times New Roman"/>
                <w:b/>
              </w:rPr>
              <w:t>Projektowana ustawa nie przewiduje przy tym możliwości zakończenia obsługiwania umowy za pośrednictwem Systemu przed upływem okresu, o którym mowa w art. 13 ust. 1.</w:t>
            </w:r>
            <w:r w:rsidRPr="0085058A">
              <w:rPr>
                <w:rFonts w:ascii="Times New Roman" w:hAnsi="Times New Roman" w:cs="Times New Roman"/>
              </w:rPr>
              <w:t xml:space="preserve"> Jest to istotne w kontekście nakładanych na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mikroprzedsiębiorców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i rolników obowiązków związanych z </w:t>
            </w:r>
            <w:r w:rsidRPr="0085058A">
              <w:rPr>
                <w:rFonts w:ascii="Times New Roman" w:hAnsi="Times New Roman" w:cs="Times New Roman"/>
              </w:rPr>
              <w:lastRenderedPageBreak/>
              <w:t>zawarciem umowy za pośrednictwem Systemu, w tym w szczególności wyrażonego w art. 8 ust. 1 obowiązku składania oświadczeń woli, wniosków oraz innych dokumentów za pośrednictwem Systemu. Wobec braku możliwości zakończenia obsługiwania danej umowy za pośrednictwem Systemu, w przypadku zawierania nowych umów po rozwinięciu prowadzonej działalności na większą skalę np. na poziom małego lub średniego przedsiębiorcy, realizacja tych umów w praktyce będzie odbywać się na różnych zasadach, nawet jeśli wynikające z nich obowiązki stron będą takie same. Może to narazić zatrudniającego pracowników przedsiębiorcę na zarzut naruszenia zasady równego traktowania pracowników, wyrażonej w art. 11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058A">
              <w:rPr>
                <w:rFonts w:ascii="Times New Roman" w:hAnsi="Times New Roman" w:cs="Times New Roman"/>
              </w:rPr>
              <w:t xml:space="preserve"> ustawy z dnia 26 czerwca 1974 r. Kodeks pracy (</w:t>
            </w:r>
            <w:proofErr w:type="spellStart"/>
            <w:r w:rsidRPr="0085058A">
              <w:rPr>
                <w:rFonts w:ascii="Times New Roman" w:hAnsi="Times New Roman" w:cs="Times New Roman"/>
              </w:rPr>
              <w:t>t.j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. Dz. U. z 2020 r. poz. 1320 z </w:t>
            </w:r>
            <w:proofErr w:type="spellStart"/>
            <w:r w:rsidRPr="0085058A">
              <w:rPr>
                <w:rFonts w:ascii="Times New Roman" w:hAnsi="Times New Roman" w:cs="Times New Roman"/>
              </w:rPr>
              <w:t>późn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. zm.). </w:t>
            </w:r>
          </w:p>
          <w:p w:rsidR="00C06F5A" w:rsidRPr="0085058A" w:rsidRDefault="00C06F5A" w:rsidP="00AE1C52">
            <w:pPr>
              <w:jc w:val="both"/>
              <w:rPr>
                <w:rFonts w:ascii="Times New Roman" w:hAnsi="Times New Roman" w:cs="Times New Roman"/>
              </w:rPr>
            </w:pPr>
          </w:p>
          <w:p w:rsidR="00C06F5A" w:rsidRPr="0085058A" w:rsidRDefault="00C06F5A" w:rsidP="00AE1C52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Tytułem przykładu można wskazać tutaj na kwestie związane z urlopami – pracodawca będzie musiał w tym zakresie wykonywać czynności w dwóch różnych trybach, tj. za pośrednictwem Systemu wobec „starych” pracowników i we własnym </w:t>
            </w:r>
            <w:r w:rsidRPr="0085058A">
              <w:rPr>
                <w:rFonts w:ascii="Times New Roman" w:hAnsi="Times New Roman" w:cs="Times New Roman"/>
              </w:rPr>
              <w:lastRenderedPageBreak/>
              <w:t>zakresie wobec „nowych” pracowników (np. papierowo lub poprzez własny system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teleinformatyczny). </w:t>
            </w:r>
          </w:p>
          <w:p w:rsidR="00C06F5A" w:rsidRPr="0085058A" w:rsidRDefault="00C06F5A" w:rsidP="00AE1C52">
            <w:pPr>
              <w:jc w:val="both"/>
              <w:rPr>
                <w:rFonts w:ascii="Times New Roman" w:hAnsi="Times New Roman" w:cs="Times New Roman"/>
              </w:rPr>
            </w:pPr>
          </w:p>
          <w:p w:rsidR="00C06F5A" w:rsidRPr="0085058A" w:rsidRDefault="00C06F5A" w:rsidP="003346CB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Brak możliwości ujednolicenia trybu postępowania pracodawców w przedmiotowej kwestii może prowadzić do nadmiernych i niepotrzebnych obciążeń organizacyjnych dla przedsiębiorców, którzy utracą status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mikroprzedsiębiorcy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w trakcie korzystania z Systemu. Zasadnym w związku z tym jawi się postulat dodania do projektowanej ustawy przepisu pozwalającego pracodawcy na zakończenie obsługiwania umowy w Systemie, oczywiście po uprzednim uzyskaniu akceptacji drugiej strony umowy o pracę, czyli pracownika, np. na drodze tzw. wypowiedzenia zmieniającego. </w:t>
            </w:r>
          </w:p>
        </w:tc>
        <w:tc>
          <w:tcPr>
            <w:tcW w:w="3518" w:type="dxa"/>
            <w:vAlign w:val="center"/>
          </w:tcPr>
          <w:p w:rsidR="00C06F5A" w:rsidRPr="0085058A" w:rsidRDefault="00C06F5A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415066" w:rsidRPr="0085058A" w:rsidRDefault="00415066" w:rsidP="00415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uwzględniona. </w:t>
            </w:r>
          </w:p>
          <w:p w:rsidR="002E1010" w:rsidRDefault="00415066" w:rsidP="00806F20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Przepisy nie nakładają obowiązku prowadzenia dokumentacji w takiej samej formie dla wszystkich pracowników. Oznacza to, że dla wyodrębnionej części pracowników dokumentacja może mieć postać papierową, a dla pozostałych elektroniczną. W związku z powyższym </w:t>
            </w:r>
            <w:r w:rsidR="006D2CCF" w:rsidRPr="0085058A">
              <w:rPr>
                <w:rFonts w:ascii="Times New Roman" w:hAnsi="Times New Roman" w:cs="Times New Roman"/>
              </w:rPr>
              <w:t xml:space="preserve">w przypadku utraty przez pracodawcę, zleceniodawcę, albo rolnika w trakcie trwania umowy statusu </w:t>
            </w:r>
            <w:proofErr w:type="spellStart"/>
            <w:r w:rsidR="006D2CCF" w:rsidRPr="0085058A">
              <w:rPr>
                <w:rFonts w:ascii="Times New Roman" w:hAnsi="Times New Roman" w:cs="Times New Roman"/>
              </w:rPr>
              <w:t>mikroprzedsiębiorcy</w:t>
            </w:r>
            <w:proofErr w:type="spellEnd"/>
            <w:r w:rsidR="006D2CCF" w:rsidRPr="0085058A">
              <w:rPr>
                <w:rFonts w:ascii="Times New Roman" w:hAnsi="Times New Roman" w:cs="Times New Roman"/>
              </w:rPr>
              <w:t xml:space="preserve"> lub rolnika, umowa taka będzie nadal obsługiwana w </w:t>
            </w:r>
            <w:r w:rsidR="006D2CCF" w:rsidRPr="0085058A">
              <w:rPr>
                <w:rFonts w:ascii="Times New Roman" w:hAnsi="Times New Roman" w:cs="Times New Roman"/>
              </w:rPr>
              <w:lastRenderedPageBreak/>
              <w:t>Systemie.</w:t>
            </w:r>
            <w:r w:rsidR="002E1010">
              <w:rPr>
                <w:rFonts w:ascii="Times New Roman" w:hAnsi="Times New Roman" w:cs="Times New Roman"/>
                <w:b/>
              </w:rPr>
              <w:t xml:space="preserve"> </w:t>
            </w:r>
            <w:r w:rsidR="002E1010" w:rsidRPr="008823F2">
              <w:rPr>
                <w:rFonts w:ascii="Times New Roman" w:hAnsi="Times New Roman" w:cs="Times New Roman"/>
              </w:rPr>
              <w:t xml:space="preserve">Dodatkowo </w:t>
            </w:r>
            <w:r w:rsidR="00806F20">
              <w:rPr>
                <w:rFonts w:ascii="Times New Roman" w:hAnsi="Times New Roman" w:cs="Times New Roman"/>
              </w:rPr>
              <w:t>w art. 13 projektu p</w:t>
            </w:r>
            <w:r w:rsidR="002E1010">
              <w:rPr>
                <w:rFonts w:ascii="Times New Roman" w:hAnsi="Times New Roman" w:cs="Times New Roman"/>
              </w:rPr>
              <w:t>rzewidziano rozwiązania umożliwiające stronom umowy</w:t>
            </w:r>
            <w:r w:rsidR="00806F20">
              <w:rPr>
                <w:rFonts w:ascii="Times New Roman" w:hAnsi="Times New Roman" w:cs="Times New Roman"/>
              </w:rPr>
              <w:t xml:space="preserve"> rezygnację z obsługi umowy w Systemie. </w:t>
            </w:r>
          </w:p>
          <w:p w:rsidR="00946D52" w:rsidRPr="00946D52" w:rsidRDefault="00946D52" w:rsidP="00946D52">
            <w:pPr>
              <w:jc w:val="both"/>
              <w:rPr>
                <w:rFonts w:ascii="Times New Roman" w:hAnsi="Times New Roman" w:cs="Times New Roman"/>
              </w:rPr>
            </w:pPr>
            <w:r w:rsidRPr="00946D52">
              <w:rPr>
                <w:rFonts w:ascii="Times New Roman" w:hAnsi="Times New Roman" w:cs="Times New Roman"/>
              </w:rPr>
              <w:t>Art. 13. Obsługa umowy w Systemie kończy się:</w:t>
            </w:r>
          </w:p>
          <w:p w:rsidR="00946D52" w:rsidRPr="00946D52" w:rsidRDefault="00946D52" w:rsidP="00946D52">
            <w:pPr>
              <w:jc w:val="both"/>
              <w:rPr>
                <w:rFonts w:ascii="Times New Roman" w:hAnsi="Times New Roman" w:cs="Times New Roman"/>
              </w:rPr>
            </w:pPr>
            <w:r w:rsidRPr="00946D52">
              <w:rPr>
                <w:rFonts w:ascii="Times New Roman" w:hAnsi="Times New Roman" w:cs="Times New Roman"/>
              </w:rPr>
              <w:t>1) po wycofaniu przez jedną ze stron umowy zgody na obsługiwanie umowy za pośrednictwem Systemu;</w:t>
            </w:r>
          </w:p>
          <w:p w:rsidR="00946D52" w:rsidRPr="002E1010" w:rsidRDefault="00946D52" w:rsidP="00946D52">
            <w:pPr>
              <w:jc w:val="both"/>
              <w:rPr>
                <w:rFonts w:ascii="Times New Roman" w:hAnsi="Times New Roman" w:cs="Times New Roman"/>
              </w:rPr>
            </w:pPr>
            <w:r w:rsidRPr="00946D52">
              <w:rPr>
                <w:rFonts w:ascii="Times New Roman" w:hAnsi="Times New Roman" w:cs="Times New Roman"/>
              </w:rPr>
              <w:t>2) po upływie okresu przechowywania dokumentacji pracowniczej albo dokumentacji umowy.</w:t>
            </w:r>
          </w:p>
        </w:tc>
      </w:tr>
      <w:tr w:rsidR="00FD4D64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FD4D64" w:rsidRPr="0085058A" w:rsidRDefault="00FD4D64" w:rsidP="00FD4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lastRenderedPageBreak/>
              <w:t>Związek Sadowników Rzeczpospolitej Polskiej</w:t>
            </w:r>
          </w:p>
        </w:tc>
      </w:tr>
      <w:tr w:rsidR="00E73BD8" w:rsidRPr="0085058A" w:rsidTr="00CA65BD">
        <w:trPr>
          <w:jc w:val="center"/>
        </w:trPr>
        <w:tc>
          <w:tcPr>
            <w:tcW w:w="534" w:type="dxa"/>
          </w:tcPr>
          <w:p w:rsidR="00E73BD8" w:rsidRPr="0085058A" w:rsidRDefault="00E73BD8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E73BD8" w:rsidRPr="0085058A" w:rsidRDefault="00E73BD8" w:rsidP="00E73B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OSR </w:t>
            </w:r>
          </w:p>
          <w:p w:rsidR="00E73BD8" w:rsidRPr="0085058A" w:rsidRDefault="00E73BD8" w:rsidP="00E73BD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73BD8" w:rsidRPr="0085058A" w:rsidRDefault="00E73BD8" w:rsidP="00E73BD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„Zgodnie z projektem podpisanie umowy będzie wymagało przez każdą ze stron użycia podpisu kwalifikowanego, podpisu osobistego </w:t>
            </w:r>
            <w:r w:rsidRPr="0085058A">
              <w:rPr>
                <w:rFonts w:ascii="Times New Roman" w:hAnsi="Times New Roman" w:cs="Times New Roman"/>
                <w:i/>
                <w:iCs/>
              </w:rPr>
              <w:lastRenderedPageBreak/>
              <w:t>albo podpisu zaufanego. Umowa zostanie zawarta po wprowadzeniu do Systemu danych koniecznych do jej zawarcia i z chwilą opatrzenia tych umów ww. podpisami elektronicznymi (w tym podpisem zaufanym) przez strony umowy. Powyższą zasadę zawarcia umowy będzie się również stosowało do zmiany i rozwiązania umowy o pracę oraz wydania świadectwa pracy.”</w:t>
            </w:r>
          </w:p>
        </w:tc>
        <w:tc>
          <w:tcPr>
            <w:tcW w:w="1676" w:type="dxa"/>
            <w:vAlign w:val="center"/>
          </w:tcPr>
          <w:p w:rsidR="00E73BD8" w:rsidRPr="0085058A" w:rsidRDefault="00E73BD8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lastRenderedPageBreak/>
              <w:t>Związek Sadowników Rzeczpospolitej Polskiej</w:t>
            </w:r>
          </w:p>
        </w:tc>
        <w:tc>
          <w:tcPr>
            <w:tcW w:w="3523" w:type="dxa"/>
          </w:tcPr>
          <w:p w:rsidR="00E73BD8" w:rsidRPr="0085058A" w:rsidRDefault="00E73BD8" w:rsidP="00E73BD8">
            <w:pPr>
              <w:pStyle w:val="Default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,, …może to utrudnić podpisywanie umów przez obcokrajowców. Obawiamy się, iż obcokrajowcy, którzy zatrudniani są np. do </w:t>
            </w:r>
            <w:r w:rsidRPr="0085058A">
              <w:rPr>
                <w:color w:val="auto"/>
                <w:sz w:val="22"/>
                <w:szCs w:val="22"/>
              </w:rPr>
              <w:t>pracy przy zbiorach czy jako pracownicy sezonowi nie posiadają podpisu kwalifikowanego.”</w:t>
            </w:r>
          </w:p>
        </w:tc>
        <w:tc>
          <w:tcPr>
            <w:tcW w:w="3518" w:type="dxa"/>
            <w:vAlign w:val="center"/>
          </w:tcPr>
          <w:p w:rsidR="00E73BD8" w:rsidRPr="0085058A" w:rsidRDefault="00E73BD8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E73BD8" w:rsidRPr="0085058A" w:rsidRDefault="00815D03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bezprzedmiotowa.</w:t>
            </w:r>
          </w:p>
          <w:p w:rsidR="00815D03" w:rsidRPr="0085058A" w:rsidRDefault="00815D03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</w:rPr>
              <w:t xml:space="preserve">Art. 5 został wykreślony na skutek </w:t>
            </w:r>
            <w:r w:rsidRPr="0085058A">
              <w:rPr>
                <w:rFonts w:ascii="Times New Roman" w:hAnsi="Times New Roman" w:cs="Times New Roman"/>
                <w:spacing w:val="-2"/>
              </w:rPr>
              <w:t xml:space="preserve">uwagi zgłoszonej przez </w:t>
            </w:r>
            <w:r w:rsidRPr="0085058A">
              <w:rPr>
                <w:rFonts w:ascii="Times New Roman" w:hAnsi="Times New Roman" w:cs="Times New Roman"/>
              </w:rPr>
              <w:t>Ministerstwo Rolnictwa i Rozwoju Wsi</w:t>
            </w:r>
            <w:r w:rsidRPr="0085058A">
              <w:rPr>
                <w:rFonts w:ascii="Times New Roman" w:hAnsi="Times New Roman" w:cs="Times New Roman"/>
                <w:spacing w:val="-2"/>
              </w:rPr>
              <w:t xml:space="preserve">. Jak zostało podniesione w </w:t>
            </w:r>
            <w:r w:rsidRPr="0085058A">
              <w:rPr>
                <w:rFonts w:ascii="Times New Roman" w:hAnsi="Times New Roman" w:cs="Times New Roman"/>
              </w:rPr>
              <w:t xml:space="preserve">świetle art. 42 ustawy z dnia 20 grudnia 1990 r. o ubezpieczeniu społecznym rolników (Dz.U. z 2021 r. poz. 266 z późn.zm.), Kasa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Rolniczego Ubezpieczenia Społecznego, zwana dalej KRUS, jest zobowiązana do prowadzenia ewidencji okresów podlegania ubezpieczeniu i opłacania składek za każdego ubezpieczonego, w tym za pomocnika rolnika. Do realizacji przedmiotowych zadań służy system informatyczny KRUS, w którym ewidencjonowane są okresy ubezpieczenia i opłaconych składek. W związku z powyższym </w:t>
            </w:r>
            <w:r w:rsidRPr="0085058A">
              <w:rPr>
                <w:rFonts w:ascii="Times New Roman" w:hAnsi="Times New Roman" w:cs="Times New Roman"/>
                <w:color w:val="000000"/>
              </w:rPr>
              <w:t xml:space="preserve">zakres przedmiotowy projektu ustawy </w:t>
            </w:r>
            <w:r w:rsidRPr="0085058A">
              <w:rPr>
                <w:rFonts w:ascii="Times New Roman" w:hAnsi="Times New Roman" w:cs="Times New Roman"/>
                <w:spacing w:val="-2"/>
              </w:rPr>
              <w:t>został zmieniony poprzez wykluczenie możliwości zawierania za pośrednictwem Systemu umowy o pomocy przy zbiorach, o której mowa w ww. ustawie.</w:t>
            </w:r>
          </w:p>
        </w:tc>
      </w:tr>
      <w:tr w:rsidR="00E73BD8" w:rsidRPr="0085058A" w:rsidTr="00CA65BD">
        <w:trPr>
          <w:jc w:val="center"/>
        </w:trPr>
        <w:tc>
          <w:tcPr>
            <w:tcW w:w="534" w:type="dxa"/>
          </w:tcPr>
          <w:p w:rsidR="00E73BD8" w:rsidRPr="0085058A" w:rsidRDefault="00E73BD8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E73BD8" w:rsidRPr="0085058A" w:rsidRDefault="00E73BD8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9</w:t>
            </w:r>
          </w:p>
        </w:tc>
        <w:tc>
          <w:tcPr>
            <w:tcW w:w="1676" w:type="dxa"/>
            <w:vAlign w:val="center"/>
          </w:tcPr>
          <w:p w:rsidR="00E73BD8" w:rsidRPr="0085058A" w:rsidRDefault="00E73BD8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Związek Sadowników Rzeczpospolitej Polskiej</w:t>
            </w:r>
          </w:p>
        </w:tc>
        <w:tc>
          <w:tcPr>
            <w:tcW w:w="3523" w:type="dxa"/>
          </w:tcPr>
          <w:p w:rsidR="00E73BD8" w:rsidRPr="0085058A" w:rsidRDefault="00E73BD8" w:rsidP="00AE1C52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,,Czy art. 9… Należy rozumieć tak, iż umowę pomiędzy pracownikiem sezonowym (obcokrajowiec) a pracodawcą będzie można zawrzeć na piśmie i jej skan wgrać do systemu podpisując ją podpisem elektronicznym wyłącznie przez pracodawcę? Zwracamy się o uwzględnienie takiej możliwości. Pozostając do dyspozycji.”</w:t>
            </w:r>
          </w:p>
        </w:tc>
        <w:tc>
          <w:tcPr>
            <w:tcW w:w="3518" w:type="dxa"/>
            <w:vAlign w:val="center"/>
          </w:tcPr>
          <w:p w:rsidR="00E73BD8" w:rsidRPr="0085058A" w:rsidRDefault="00E73BD8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bezprzedmiotowa.</w:t>
            </w:r>
          </w:p>
          <w:p w:rsidR="00E73BD8" w:rsidRPr="0085058A" w:rsidRDefault="00CA65BD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Patrz uwaga nr 4  (</w:t>
            </w:r>
            <w:proofErr w:type="spellStart"/>
            <w:r w:rsidRPr="0085058A">
              <w:rPr>
                <w:rFonts w:ascii="Times New Roman" w:hAnsi="Times New Roman" w:cs="Times New Roman"/>
              </w:rPr>
              <w:t>dot.OSR</w:t>
            </w:r>
            <w:proofErr w:type="spellEnd"/>
            <w:r w:rsidRPr="0085058A">
              <w:rPr>
                <w:rFonts w:ascii="Times New Roman" w:hAnsi="Times New Roman" w:cs="Times New Roman"/>
              </w:rPr>
              <w:t>)</w:t>
            </w:r>
          </w:p>
        </w:tc>
      </w:tr>
      <w:tr w:rsidR="00FD4D64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FD4D64" w:rsidRPr="0085058A" w:rsidRDefault="00FD4D64" w:rsidP="00FD4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Krajowa Rada Izb Rolniczych</w:t>
            </w:r>
          </w:p>
        </w:tc>
      </w:tr>
      <w:tr w:rsidR="000F21A5" w:rsidRPr="0085058A" w:rsidTr="00CA65BD">
        <w:trPr>
          <w:jc w:val="center"/>
        </w:trPr>
        <w:tc>
          <w:tcPr>
            <w:tcW w:w="534" w:type="dxa"/>
          </w:tcPr>
          <w:p w:rsidR="000F21A5" w:rsidRPr="0085058A" w:rsidRDefault="000F21A5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0F21A5" w:rsidRPr="0085058A" w:rsidRDefault="000F21A5" w:rsidP="00B3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0F21A5" w:rsidRPr="0085058A" w:rsidRDefault="000F21A5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Krajowa Rada Izb Rolniczych</w:t>
            </w:r>
          </w:p>
        </w:tc>
        <w:tc>
          <w:tcPr>
            <w:tcW w:w="3523" w:type="dxa"/>
          </w:tcPr>
          <w:p w:rsidR="000F21A5" w:rsidRPr="0085058A" w:rsidRDefault="000F21A5" w:rsidP="00AE1C52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,,Samorząd rolniczy zauważa, że należy przewidzieć szkolenia dla rolników przed rozpoczęciem korzystania z tego systemu.”</w:t>
            </w:r>
          </w:p>
        </w:tc>
        <w:tc>
          <w:tcPr>
            <w:tcW w:w="3518" w:type="dxa"/>
            <w:vAlign w:val="center"/>
          </w:tcPr>
          <w:p w:rsidR="000F21A5" w:rsidRPr="0085058A" w:rsidRDefault="000F21A5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0F21A5" w:rsidRPr="0085058A" w:rsidRDefault="00CA65BD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nieuwzględniona.</w:t>
            </w:r>
          </w:p>
          <w:p w:rsidR="00CA65BD" w:rsidRPr="0085058A" w:rsidRDefault="00CA65BD" w:rsidP="00FD4D64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Nie przewiduje się szkoleń dla kogokolwiek</w:t>
            </w:r>
            <w:r w:rsidR="00FD4D64" w:rsidRPr="0085058A">
              <w:rPr>
                <w:rFonts w:ascii="Times New Roman" w:hAnsi="Times New Roman" w:cs="Times New Roman"/>
              </w:rPr>
              <w:t xml:space="preserve">. </w:t>
            </w:r>
            <w:r w:rsidR="00B262AB" w:rsidRPr="0085058A">
              <w:rPr>
                <w:rFonts w:ascii="Times New Roman" w:hAnsi="Times New Roman" w:cs="Times New Roman"/>
              </w:rPr>
              <w:t>Z założenia</w:t>
            </w:r>
            <w:r w:rsidR="00FD4D64" w:rsidRPr="0085058A">
              <w:rPr>
                <w:rFonts w:ascii="Times New Roman" w:hAnsi="Times New Roman" w:cs="Times New Roman"/>
              </w:rPr>
              <w:t xml:space="preserve"> bowiem</w:t>
            </w:r>
            <w:r w:rsidR="00B262AB" w:rsidRPr="0085058A">
              <w:rPr>
                <w:rFonts w:ascii="Times New Roman" w:hAnsi="Times New Roman" w:cs="Times New Roman"/>
              </w:rPr>
              <w:t xml:space="preserve"> program ma być prosty i intuicyjny </w:t>
            </w:r>
          </w:p>
        </w:tc>
      </w:tr>
      <w:tr w:rsidR="00FD4D64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FD4D64" w:rsidRPr="0085058A" w:rsidRDefault="00FD4D64" w:rsidP="00FD4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Urząd Ochrony Danych Osobowych</w:t>
            </w:r>
          </w:p>
        </w:tc>
      </w:tr>
      <w:tr w:rsidR="00F9709D" w:rsidRPr="0085058A" w:rsidTr="00CA65BD">
        <w:trPr>
          <w:jc w:val="center"/>
        </w:trPr>
        <w:tc>
          <w:tcPr>
            <w:tcW w:w="534" w:type="dxa"/>
          </w:tcPr>
          <w:p w:rsidR="00F9709D" w:rsidRPr="0085058A" w:rsidRDefault="00F9709D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F9709D" w:rsidRPr="0085058A" w:rsidRDefault="00F9709D" w:rsidP="00B3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F9709D" w:rsidRPr="0085058A" w:rsidRDefault="00146F21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F9709D" w:rsidRPr="0085058A" w:rsidRDefault="00F9709D" w:rsidP="00F9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Zakres projektowanych rozwiązań, wiążących się z przetwarzaniem na dużą skalę w centralnym systemie teleinformatycznym danych osobowych wszystkich osób aktywnych zawodowo (również danych o charakterze prywatnym jak adres poczty elektronicznej i numer telefonu) ze względu na swój charakter, zakres, kontekst i cele – z dużym prawdopodobieństwem może powodować wysokie ryzyko naruszenia praw lub wolności osób fizycznych – dlatego też determinuje powinność uwzględnienia testu prywatności, w tym oceny skutków dla ochrony danych (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25 ust. 1 </w:t>
            </w:r>
            <w:r w:rsidRPr="0085058A">
              <w:rPr>
                <w:rFonts w:ascii="Times New Roman" w:hAnsi="Times New Roman" w:cs="Times New Roman"/>
              </w:rPr>
              <w:t xml:space="preserve">i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35 </w:t>
            </w:r>
            <w:r w:rsidRPr="0085058A">
              <w:rPr>
                <w:rFonts w:ascii="Times New Roman" w:hAnsi="Times New Roman" w:cs="Times New Roman"/>
              </w:rPr>
              <w:t>rozporządzenia 2016/679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1</w:t>
            </w:r>
            <w:r w:rsidRPr="0085058A">
              <w:rPr>
                <w:rFonts w:ascii="Times New Roman" w:hAnsi="Times New Roman" w:cs="Times New Roman"/>
              </w:rPr>
              <w:t>). Projektowane rozwiązania powinny być poddane ocenie w trybie art. 35 rozporządzenia 2016/679 – w związku z przyjmowaniem podstawy prawnej przetwarzania danych (art. 35 ust. 10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058A">
              <w:rPr>
                <w:rFonts w:ascii="Times New Roman" w:hAnsi="Times New Roman" w:cs="Times New Roman"/>
              </w:rPr>
              <w:t xml:space="preserve">) – już na etapie tworzenia przepisów prawa w tym zakresie, tj. w toku procesu legislacyjnego, celem zapewnienia stosowania rozporządzenia </w:t>
            </w:r>
            <w:r w:rsidRPr="0085058A">
              <w:rPr>
                <w:rFonts w:ascii="Times New Roman" w:hAnsi="Times New Roman" w:cs="Times New Roman"/>
              </w:rPr>
              <w:lastRenderedPageBreak/>
              <w:t>2016/679. Przepisy te powinny być ustalone z uwzględnieniem dokonania testu prywatności, w tym oceny ryzyka</w:t>
            </w:r>
          </w:p>
          <w:p w:rsidR="00F9709D" w:rsidRPr="0085058A" w:rsidRDefault="00F9709D" w:rsidP="00F9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przyjmowanych rozwiązań i przyjęcia przepisów dostosowanych do wyników tej analizy i oceny. Przeprowadzona ocena skutków dla ochrony danych mogłaby wykazać konieczność lub brak niezbędności wprowadzenia rozwiązań proponowanych niniejszym projektem.</w:t>
            </w:r>
          </w:p>
          <w:p w:rsidR="00F9709D" w:rsidRPr="0085058A" w:rsidRDefault="00F9709D" w:rsidP="00FD4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Uzasadnionym jest by test prywatności i ocena skutków dla ochrony danych była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dokonywana już w ramach oceny skutków regulacji w związku z przyjmowaniem określonej podstawy prawnej przetwarzania danych, tak, by tworzyć regulacje prawne z poszanowaniem przepisów rozporządzenia 2016/679.</w:t>
            </w:r>
          </w:p>
        </w:tc>
        <w:tc>
          <w:tcPr>
            <w:tcW w:w="3518" w:type="dxa"/>
            <w:vAlign w:val="center"/>
          </w:tcPr>
          <w:p w:rsidR="00F9709D" w:rsidRPr="0085058A" w:rsidRDefault="00F9709D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CA65BD" w:rsidRPr="0085058A" w:rsidRDefault="00CA65BD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uwzględniona.</w:t>
            </w:r>
          </w:p>
          <w:p w:rsidR="00F9709D" w:rsidRPr="0085058A" w:rsidRDefault="00CA65BD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</w:rPr>
              <w:t>Uzupełniono uzasadnienie</w:t>
            </w:r>
            <w:r w:rsidRPr="0085058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9709D" w:rsidRPr="0085058A" w:rsidTr="00FD4D64">
        <w:trPr>
          <w:trHeight w:val="2693"/>
          <w:jc w:val="center"/>
        </w:trPr>
        <w:tc>
          <w:tcPr>
            <w:tcW w:w="534" w:type="dxa"/>
          </w:tcPr>
          <w:p w:rsidR="00F9709D" w:rsidRPr="0085058A" w:rsidRDefault="00F9709D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F9709D" w:rsidRPr="0085058A" w:rsidRDefault="00F9709D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Art. 2 ust. 4 </w:t>
            </w:r>
          </w:p>
        </w:tc>
        <w:tc>
          <w:tcPr>
            <w:tcW w:w="1676" w:type="dxa"/>
            <w:vAlign w:val="center"/>
          </w:tcPr>
          <w:p w:rsidR="00F9709D" w:rsidRPr="0085058A" w:rsidRDefault="00146F21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F9709D" w:rsidRPr="0085058A" w:rsidRDefault="00F9709D" w:rsidP="00F9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2 ust. 4 </w:t>
            </w:r>
            <w:r w:rsidRPr="0085058A">
              <w:rPr>
                <w:rFonts w:ascii="Times New Roman" w:hAnsi="Times New Roman" w:cs="Times New Roman"/>
              </w:rPr>
              <w:t xml:space="preserve">projektu ustawy zakłada,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„System zapewnia bezpieczeństwo przetwarzanych danych osobowych oraz środki określone w art. 32 rozporządzenia Parlamentu Europejskiego i Rady (UE) 2016/679 z dnia 27 kwietnia 2016 r. w sprawie ochrony osób fizycznych w związku z przetwarzaniem danych osobowych i w sprawie swobodnego</w:t>
            </w:r>
            <w:r w:rsidR="00FD4D64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przepływu </w:t>
            </w:r>
            <w:r w:rsidRPr="0085058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takich danych oraz uchylenia dyrektywy 3 95/46/WE (ogólne rozporządzenie o ochronie danych) (Dz. Urz. UE L 119 z 04.05.2016, str. 1, z </w:t>
            </w:r>
            <w:proofErr w:type="spellStart"/>
            <w:r w:rsidRPr="0085058A">
              <w:rPr>
                <w:rFonts w:ascii="Times New Roman" w:hAnsi="Times New Roman" w:cs="Times New Roman"/>
                <w:i/>
                <w:iCs/>
              </w:rPr>
              <w:t>późn</w:t>
            </w:r>
            <w:proofErr w:type="spellEnd"/>
            <w:r w:rsidRPr="0085058A">
              <w:rPr>
                <w:rFonts w:ascii="Times New Roman" w:hAnsi="Times New Roman" w:cs="Times New Roman"/>
                <w:i/>
                <w:iCs/>
              </w:rPr>
              <w:t xml:space="preserve">. zm.)”. </w:t>
            </w:r>
          </w:p>
          <w:p w:rsidR="00F9709D" w:rsidRPr="0085058A" w:rsidRDefault="00F9709D" w:rsidP="00FD4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Na wstępie należy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wskazać, że dyspozycja art. 32 rozporządzenia 2016/679 dotyczy administratora, nie zaś używanych przez niego narzędzi. Należy zwrócić uwagę, że wszystkie systemy teleinformatyczne służące do przetwarzania danych osobowych muszą spełniać wymagania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określone w rozporządzeniu 2016/679. Wynika to z bezpośredniego stosowania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rozporządzenia 2016/679 w polskim porządku prawnym. </w:t>
            </w:r>
            <w:r w:rsidRPr="0085058A">
              <w:rPr>
                <w:rFonts w:ascii="Times New Roman" w:hAnsi="Times New Roman" w:cs="Times New Roman"/>
                <w:b/>
              </w:rPr>
              <w:t>Dlatego też projektowany przepis nie niesie ze sobą żadnej treści normatywnej. Art. 2 ust. 4 projektu ustawy powinien precyzować w jaki sposób zapewnione jest bezpieczeństwo przetwarzanych danych, co odpowiadałoby zasadzie zgodności z prawem, rzetelności i przejrzystości</w:t>
            </w:r>
            <w:r w:rsidRPr="0085058A">
              <w:rPr>
                <w:rFonts w:ascii="Times New Roman" w:hAnsi="Times New Roman" w:cs="Times New Roman"/>
              </w:rPr>
              <w:t xml:space="preserve"> (art. 5 ust. 1 lit. a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85058A">
              <w:rPr>
                <w:rFonts w:ascii="Times New Roman" w:hAnsi="Times New Roman" w:cs="Times New Roman"/>
              </w:rPr>
              <w:t>) oraz zasadzie integralności i poufności (art. 5 ust. 1 lit. f rozporządzenia 2016/679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4</w:t>
            </w:r>
            <w:r w:rsidRPr="0085058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18" w:type="dxa"/>
            <w:vAlign w:val="center"/>
          </w:tcPr>
          <w:p w:rsidR="00F9709D" w:rsidRPr="0085058A" w:rsidRDefault="00F9709D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8B7AC7" w:rsidRPr="0085058A" w:rsidRDefault="00FD4D64" w:rsidP="008B7AC7">
            <w:pPr>
              <w:keepNext/>
              <w:suppressAutoHyphens/>
              <w:spacing w:before="120" w:after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</w:t>
            </w:r>
            <w:r w:rsidR="00E34413">
              <w:rPr>
                <w:rFonts w:ascii="Times New Roman" w:hAnsi="Times New Roman" w:cs="Times New Roman"/>
                <w:b/>
              </w:rPr>
              <w:t xml:space="preserve"> – zrezygnowano z wprowadzania zakwestionowanej regulacji. </w:t>
            </w:r>
          </w:p>
          <w:p w:rsidR="00F9709D" w:rsidRPr="0085058A" w:rsidRDefault="00F9709D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09D" w:rsidRPr="0085058A" w:rsidTr="00CA65BD">
        <w:trPr>
          <w:jc w:val="center"/>
        </w:trPr>
        <w:tc>
          <w:tcPr>
            <w:tcW w:w="534" w:type="dxa"/>
          </w:tcPr>
          <w:p w:rsidR="00F9709D" w:rsidRPr="0085058A" w:rsidRDefault="00F9709D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F9709D" w:rsidRPr="0085058A" w:rsidRDefault="00F9709D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3 ust. 1</w:t>
            </w:r>
          </w:p>
        </w:tc>
        <w:tc>
          <w:tcPr>
            <w:tcW w:w="1676" w:type="dxa"/>
            <w:vAlign w:val="center"/>
          </w:tcPr>
          <w:p w:rsidR="00F9709D" w:rsidRPr="0085058A" w:rsidRDefault="00146F21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F9709D" w:rsidRPr="0085058A" w:rsidRDefault="00F9709D" w:rsidP="00415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3 ust. 1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jest</w:t>
            </w:r>
            <w:r w:rsidR="00FD4D64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lastRenderedPageBreak/>
              <w:t>administratorem danych osobowych przetwarzanych na potrzeby obsługi umów przy użyciu</w:t>
            </w:r>
            <w:r w:rsidR="00FD4D64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Systemu oraz dla celów statystycznych.”</w:t>
            </w:r>
            <w:r w:rsidRPr="0085058A">
              <w:rPr>
                <w:rFonts w:ascii="Times New Roman" w:hAnsi="Times New Roman" w:cs="Times New Roman"/>
              </w:rPr>
              <w:t>. Jeśli intencją projektodawcy jest przypisanie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wprost ministrowi właściwemu do spraw pracy roli administratora danych5 systemu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teleinformatycznego do obsługi umów, który przewiduje projektowana ustawa, to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projektowany przepis powinien to czynić w sposób przejrzysty i jednoznaczny (np.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jest administratorem przetwarzanych w Systemie</w:t>
            </w:r>
            <w:r w:rsidR="00FD4D64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danych osobowych”</w:t>
            </w:r>
            <w:r w:rsidRPr="0085058A">
              <w:rPr>
                <w:rFonts w:ascii="Times New Roman" w:hAnsi="Times New Roman" w:cs="Times New Roman"/>
              </w:rPr>
              <w:t>). Obecna redakcja art. 3 ust. 1 projektu ustawy budzi wątpliwości czy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 przypadku przetwarzania w Systemie danych osobowych w celach innych niż na potrzeby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obsługi umów oraz dla celów statystycznych projektodawca planuje przypisać rolę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administratora innemu podmiotowi niż ministrowi właściwemu do spraw pracy.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Wyjaśnienie i doprecyzowanie powyższej kwestii jest konieczne z punktu widzenia zasady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zgodności z prawem, rzetelności i przejrzystości (art. 5 ust. 1 lit. a rozporządzenia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2016/679).</w:t>
            </w:r>
            <w:r w:rsidR="00415066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Dodatkowo, </w:t>
            </w:r>
            <w:r w:rsidRPr="0085058A">
              <w:rPr>
                <w:rFonts w:ascii="Times New Roman" w:hAnsi="Times New Roman" w:cs="Times New Roman"/>
              </w:rPr>
              <w:lastRenderedPageBreak/>
              <w:t>wyjaśnienia wymaga dlaczego do celów statystycznych, o których mowa w projektowanym przepisie mają być przetwarzane dane osobowe a nie dane anonimowe albo</w:t>
            </w:r>
            <w:r w:rsidR="00FD4D64" w:rsidRPr="0085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8A">
              <w:rPr>
                <w:rFonts w:ascii="Times New Roman" w:hAnsi="Times New Roman" w:cs="Times New Roman"/>
              </w:rPr>
              <w:t>spseudonimizowane</w:t>
            </w:r>
            <w:proofErr w:type="spellEnd"/>
            <w:r w:rsidRPr="00850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8" w:type="dxa"/>
            <w:vAlign w:val="center"/>
          </w:tcPr>
          <w:p w:rsidR="00F9709D" w:rsidRPr="0085058A" w:rsidRDefault="00F9709D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F9709D" w:rsidRPr="0085058A" w:rsidRDefault="00FD4D64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uwzględniona.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Nowe brzmienie </w:t>
            </w:r>
            <w:r>
              <w:rPr>
                <w:rFonts w:ascii="Times New Roman" w:hAnsi="Times New Roman" w:cs="Times New Roman"/>
                <w:i/>
              </w:rPr>
              <w:t>„</w:t>
            </w:r>
            <w:r w:rsidRPr="008823F2">
              <w:rPr>
                <w:rFonts w:ascii="Times New Roman" w:hAnsi="Times New Roman" w:cs="Times New Roman"/>
                <w:i/>
              </w:rPr>
              <w:t xml:space="preserve">Art. 3. 1. Minister właściwy do spraw </w:t>
            </w:r>
            <w:r w:rsidRPr="008823F2">
              <w:rPr>
                <w:rFonts w:ascii="Times New Roman" w:hAnsi="Times New Roman" w:cs="Times New Roman"/>
                <w:i/>
              </w:rPr>
              <w:lastRenderedPageBreak/>
              <w:t>pracy jest administratorem danych osobowych przetwarzanych w Systemie.</w:t>
            </w:r>
          </w:p>
          <w:p w:rsidR="008823F2" w:rsidRPr="008823F2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23F2">
              <w:rPr>
                <w:rFonts w:ascii="Times New Roman" w:hAnsi="Times New Roman" w:cs="Times New Roman"/>
                <w:i/>
              </w:rPr>
              <w:t>2. Minister właściwy do spraw pracy przetwarza dane osobowe w systemie w celach określonych w ustawie oraz dla celów statystycznych.</w:t>
            </w:r>
          </w:p>
          <w:p w:rsidR="008B7AC7" w:rsidRPr="00127080" w:rsidRDefault="008823F2" w:rsidP="008823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23F2">
              <w:rPr>
                <w:rFonts w:ascii="Times New Roman" w:hAnsi="Times New Roman" w:cs="Times New Roman"/>
                <w:i/>
              </w:rPr>
              <w:t xml:space="preserve">3. Minister właściwy do spraw pracy w celu zapewnienia prawidłowej obsługi umów udostępnia Zakładowi Ubezpieczeń Społecznych oraz właściwemu organowi Krajowej Administracji Skarbowej dane, o których mowa w art. 6 ust. 1 pkt 1 lit a, b, d, e </w:t>
            </w:r>
            <w:proofErr w:type="spellStart"/>
            <w:r w:rsidRPr="008823F2">
              <w:rPr>
                <w:rFonts w:ascii="Times New Roman" w:hAnsi="Times New Roman" w:cs="Times New Roman"/>
                <w:i/>
              </w:rPr>
              <w:t>tiret</w:t>
            </w:r>
            <w:proofErr w:type="spellEnd"/>
            <w:r w:rsidRPr="008823F2">
              <w:rPr>
                <w:rFonts w:ascii="Times New Roman" w:hAnsi="Times New Roman" w:cs="Times New Roman"/>
                <w:i/>
              </w:rPr>
              <w:t xml:space="preserve"> trzecie, pkt 2 lit a–e, g i h oraz pkt 3.</w:t>
            </w:r>
            <w:r>
              <w:rPr>
                <w:rFonts w:ascii="Times New Roman" w:hAnsi="Times New Roman" w:cs="Times New Roman"/>
                <w:i/>
              </w:rPr>
              <w:t xml:space="preserve">”. </w:t>
            </w:r>
          </w:p>
          <w:p w:rsidR="008B7AC7" w:rsidRPr="0085058A" w:rsidRDefault="008B7AC7" w:rsidP="007E25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65BD" w:rsidRPr="0085058A" w:rsidRDefault="00CA65BD" w:rsidP="007E25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709D" w:rsidRPr="0085058A" w:rsidTr="00CA65BD">
        <w:trPr>
          <w:jc w:val="center"/>
        </w:trPr>
        <w:tc>
          <w:tcPr>
            <w:tcW w:w="534" w:type="dxa"/>
          </w:tcPr>
          <w:p w:rsidR="00F9709D" w:rsidRPr="0085058A" w:rsidRDefault="00F9709D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F9709D" w:rsidRPr="0085058A" w:rsidRDefault="00F9709D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Art. 3 ust. 3 </w:t>
            </w:r>
          </w:p>
        </w:tc>
        <w:tc>
          <w:tcPr>
            <w:tcW w:w="1676" w:type="dxa"/>
            <w:vAlign w:val="center"/>
          </w:tcPr>
          <w:p w:rsidR="00F9709D" w:rsidRPr="0085058A" w:rsidRDefault="00146F21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F9709D" w:rsidRPr="0085058A" w:rsidRDefault="00F9709D" w:rsidP="006D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3 ust. 3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„Minister właściwy do spraw pracy może udostępnić dane osobowe Zakładowi Ubezpieczeń Społecznych, Kasie Rolniczego Ubezpieczenia Społecznego, Szefowi Krajowej Administracji Skarbowej w zakresie niezbędnym do obsługi umów przy użyciu Systemu.”. </w:t>
            </w:r>
            <w:r w:rsidRPr="0085058A">
              <w:rPr>
                <w:rFonts w:ascii="Times New Roman" w:hAnsi="Times New Roman" w:cs="Times New Roman"/>
              </w:rPr>
              <w:t>Projektowany przepis ma charakter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zbyt ogólny i nieostry. </w:t>
            </w:r>
            <w:r w:rsidRPr="0085058A">
              <w:rPr>
                <w:rFonts w:ascii="Times New Roman" w:hAnsi="Times New Roman" w:cs="Times New Roman"/>
                <w:b/>
              </w:rPr>
              <w:t>Przepis powinien precyzyjnie określać katalog danych osobowych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</w:rPr>
              <w:t>jaki może być udostępniany przez administratora oraz wskazywać dopuszczalne procesy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</w:rPr>
              <w:t>przetwarzania danych wiążące się z obsługą umów przez poszczególne podmioty (także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</w:rPr>
              <w:t>będące administratorami w rozumieniu przepisów rozporządzenia</w:t>
            </w:r>
            <w:r w:rsidRPr="0085058A">
              <w:rPr>
                <w:rFonts w:ascii="Times New Roman" w:hAnsi="Times New Roman" w:cs="Times New Roman"/>
              </w:rPr>
              <w:t xml:space="preserve"> 2016/679). Dodatkowo –o ile przyjmowane rozwiązania są niezbędne – to projektowany przepis powinien zostać ukształtowany na zasadzie obowiązku prawnego zgodnie z dyspozycją art. 6 ust. 1 lit. c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rozporządzenia 2016/6796 gdyż dotyczy administratora będącego podmiotem publicznym. Dlatego zwrot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może udostępnić dane osobowe (…)”</w:t>
            </w:r>
            <w:r w:rsidRPr="0085058A">
              <w:rPr>
                <w:rFonts w:ascii="Times New Roman" w:hAnsi="Times New Roman" w:cs="Times New Roman"/>
              </w:rPr>
              <w:t xml:space="preserve">powinien zostać zastąpiony zwrotem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udostępnia dane osobowe (…)”</w:t>
            </w:r>
            <w:r w:rsidRPr="0085058A">
              <w:rPr>
                <w:rFonts w:ascii="Times New Roman" w:hAnsi="Times New Roman" w:cs="Times New Roman"/>
              </w:rPr>
              <w:t>. Odpowiadałoby to zasadzie zgodności z prawem, rzetelności i przejrzystości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(art. 5 ust. 1 lit. a), zasadzie ograniczenia celu (art. 5 ust. 1 lit. b7) oraz zasadzie minimalizacji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danych (art. 5 ust. 1 lit. c rozporządzenia 2016/679</w:t>
            </w:r>
            <w:r w:rsidRPr="0085058A">
              <w:rPr>
                <w:rFonts w:ascii="Times New Roman" w:hAnsi="Times New Roman" w:cs="Times New Roman"/>
                <w:vertAlign w:val="superscript"/>
              </w:rPr>
              <w:t>8</w:t>
            </w:r>
            <w:r w:rsidRPr="0085058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18" w:type="dxa"/>
            <w:vAlign w:val="center"/>
          </w:tcPr>
          <w:p w:rsidR="00F9709D" w:rsidRPr="0085058A" w:rsidRDefault="008B7AC7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i/>
                <w:iCs/>
              </w:rPr>
              <w:lastRenderedPageBreak/>
              <w:t>Minister właściwy do spraw pracy udostępnia dane osobowe (…)</w:t>
            </w:r>
          </w:p>
        </w:tc>
        <w:tc>
          <w:tcPr>
            <w:tcW w:w="3058" w:type="dxa"/>
          </w:tcPr>
          <w:p w:rsidR="008B7AC7" w:rsidRPr="0085058A" w:rsidRDefault="006D2CCF" w:rsidP="007E2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uwzględniona. </w:t>
            </w:r>
          </w:p>
          <w:p w:rsidR="00F9709D" w:rsidRDefault="009C0D22" w:rsidP="009C0D22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Zmieniono brzmienie przepisu poprzez precyzyjnie określenie katalogu danych osobowych jaki może być udostępniany przez administratora. </w:t>
            </w:r>
          </w:p>
          <w:p w:rsidR="008823F2" w:rsidRPr="008823F2" w:rsidRDefault="008823F2" w:rsidP="009C0D2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Nowe brzmienie art. 3 ust. 3 </w:t>
            </w:r>
            <w:r>
              <w:rPr>
                <w:rFonts w:ascii="Times New Roman" w:hAnsi="Times New Roman" w:cs="Times New Roman"/>
                <w:i/>
              </w:rPr>
              <w:t>„</w:t>
            </w:r>
            <w:r w:rsidRPr="008823F2">
              <w:rPr>
                <w:rFonts w:ascii="Times New Roman" w:hAnsi="Times New Roman" w:cs="Times New Roman"/>
                <w:i/>
              </w:rPr>
              <w:t xml:space="preserve">3. Minister właściwy do spraw pracy w celu zapewnienia prawidłowej obsługi umów udostępnia Zakładowi Ubezpieczeń Społecznych oraz właściwemu organowi Krajowej Administracji Skarbowej dane, o których mowa w art. 6 ust. 1 pkt 1 lit a, b, d, e </w:t>
            </w:r>
            <w:proofErr w:type="spellStart"/>
            <w:r w:rsidRPr="008823F2">
              <w:rPr>
                <w:rFonts w:ascii="Times New Roman" w:hAnsi="Times New Roman" w:cs="Times New Roman"/>
                <w:i/>
              </w:rPr>
              <w:t>tiret</w:t>
            </w:r>
            <w:proofErr w:type="spellEnd"/>
            <w:r w:rsidRPr="008823F2">
              <w:rPr>
                <w:rFonts w:ascii="Times New Roman" w:hAnsi="Times New Roman" w:cs="Times New Roman"/>
                <w:i/>
              </w:rPr>
              <w:t xml:space="preserve"> trzecie, pkt 2 lit a–e, g i h oraz pkt 3.</w:t>
            </w:r>
            <w:r>
              <w:rPr>
                <w:rFonts w:ascii="Times New Roman" w:hAnsi="Times New Roman" w:cs="Times New Roman"/>
                <w:i/>
              </w:rPr>
              <w:t xml:space="preserve">”. </w:t>
            </w:r>
          </w:p>
        </w:tc>
      </w:tr>
      <w:tr w:rsidR="00F9709D" w:rsidRPr="0085058A" w:rsidTr="00CA65BD">
        <w:trPr>
          <w:jc w:val="center"/>
        </w:trPr>
        <w:tc>
          <w:tcPr>
            <w:tcW w:w="534" w:type="dxa"/>
          </w:tcPr>
          <w:p w:rsidR="00F9709D" w:rsidRPr="0085058A" w:rsidRDefault="00F9709D" w:rsidP="007E258F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F9709D" w:rsidRPr="0085058A" w:rsidRDefault="00F9709D" w:rsidP="00B3129C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4 ust. 6</w:t>
            </w:r>
          </w:p>
        </w:tc>
        <w:tc>
          <w:tcPr>
            <w:tcW w:w="1676" w:type="dxa"/>
            <w:vAlign w:val="center"/>
          </w:tcPr>
          <w:p w:rsidR="00F9709D" w:rsidRPr="0085058A" w:rsidRDefault="00146F21" w:rsidP="007E258F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F9709D" w:rsidRPr="0085058A" w:rsidRDefault="00F9709D" w:rsidP="006D2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4 ust. 6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może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określić w drodze rozporządzenia 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>dodatkowy zakres funkcjonalności Systemu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, mając na celu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uproszczenie obsługiwania umów za pośrednictwem Systemu.”</w:t>
            </w:r>
            <w:r w:rsidRPr="0085058A">
              <w:rPr>
                <w:rFonts w:ascii="Times New Roman" w:hAnsi="Times New Roman" w:cs="Times New Roman"/>
              </w:rPr>
              <w:t>. Jeśli dodatkowe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funkcjonalności, o których mowa w projektowanym przepisie będą miały wpływ na zakres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oraz cel przetwarzania danych osobowych określonych projektowaną ustawą, to ich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określenie powinno nastąpić mocą przepisów rangi ustawy (nowelizacji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ustawy o niektórych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umowach zawieranych elektronicznie</w:t>
            </w:r>
            <w:r w:rsidRPr="0085058A">
              <w:rPr>
                <w:rFonts w:ascii="Times New Roman" w:hAnsi="Times New Roman" w:cs="Times New Roman"/>
              </w:rPr>
              <w:t xml:space="preserve">), nie zaś aktem </w:t>
            </w:r>
            <w:r w:rsidRPr="0085058A">
              <w:rPr>
                <w:rFonts w:ascii="Times New Roman" w:hAnsi="Times New Roman" w:cs="Times New Roman"/>
              </w:rPr>
              <w:lastRenderedPageBreak/>
              <w:t>wykonawczym. Wynika to z zasady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zgodności z prawem, rzetelności i przejrzystości (art. 5 ust. 1 lit. a rozporządzenia 2016/679)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i konieczności kształtowania praw i obowiązków zgodnie z zasadą praworządności.</w:t>
            </w:r>
          </w:p>
        </w:tc>
        <w:tc>
          <w:tcPr>
            <w:tcW w:w="3518" w:type="dxa"/>
            <w:vAlign w:val="center"/>
          </w:tcPr>
          <w:p w:rsidR="00F9709D" w:rsidRPr="0085058A" w:rsidRDefault="00F9709D" w:rsidP="007E2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F9709D" w:rsidRPr="0085058A" w:rsidRDefault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</w:t>
            </w:r>
            <w:r w:rsidR="006232D8">
              <w:rPr>
                <w:rFonts w:ascii="Times New Roman" w:hAnsi="Times New Roman" w:cs="Times New Roman"/>
                <w:b/>
              </w:rPr>
              <w:t xml:space="preserve"> - </w:t>
            </w:r>
            <w:r w:rsidR="006232D8" w:rsidRPr="006232D8">
              <w:rPr>
                <w:rFonts w:ascii="Times New Roman" w:hAnsi="Times New Roman" w:cs="Times New Roman"/>
                <w:b/>
              </w:rPr>
              <w:t>zrezygnowano z wprowadzania zakwestionowanej regulacji.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6 ust. 9</w:t>
            </w: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CA65BD" w:rsidRPr="0085058A" w:rsidRDefault="00CA65BD" w:rsidP="00227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6 ust. 9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udostępnia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w Systemie wzory, o których mowa w ust. 4, 7 i 8, uwzględniające zakres danych niezbędnych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do prawidłowego zawarcia, zmiany lub rozwiązania umowy oraz wydania świadectwa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pracy, a także zgodność danych zawartych w tych wzorach z przepisami prawa pracy,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ustawy z dnia 23 kwietnia 1964 r. – Kodeks cywilny, ustawy z dnia 4 lutego 2011 r. o opiece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nad dziećmi w wieku do lat 3 albo ustawy z dnia 20 grudnia 1990 r. o ubezpieczeniu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społecznym rolników.”. </w:t>
            </w:r>
            <w:r w:rsidRPr="0085058A">
              <w:rPr>
                <w:rFonts w:ascii="Times New Roman" w:hAnsi="Times New Roman" w:cs="Times New Roman"/>
              </w:rPr>
              <w:t>Wzory umów, o których mowa w projektowanym przepisie,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kształtujące m.in. zakres danych osobowych niezbędnych do ich zawarcia i wykonywania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powinny zostać określone w akcie prawa powszechnie obowiązującego (np. akcie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wykonawczym do ustawy), nie zaś ustalone decyzją ministra i umieszczone w Systemie.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Dodatkowo należy zwrócić uwagę, </w:t>
            </w:r>
            <w:r w:rsidRPr="0085058A">
              <w:rPr>
                <w:rFonts w:ascii="Times New Roman" w:hAnsi="Times New Roman" w:cs="Times New Roman"/>
              </w:rPr>
              <w:lastRenderedPageBreak/>
              <w:t>że projektowana ustawa nie określa zakresu danych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osobowych – nawet w stopniu ogólnym – jakie mają zawierać wzory umów. Tym samym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ogólny zakres danych osobowych zawartych we wzorach umów powinien zostać określony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na poziomie ustawy, doprecyzowany zaś aktem wykonawczym. Odpowiadałoby to zasadzie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zgodności z prawem, rzetelności i przejrzystości (art. 5 ust. 1 lit. a rozporządzenia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2016/679), zasadzie ograniczenia celu (art. 5 ust. 1 lit. b rozporządzenia 2016/679) oraz zasadzie minimalizacji danych (art. 5 ust. 1 lit. c rozporządzenia 2016/679) i </w:t>
            </w:r>
            <w:proofErr w:type="spellStart"/>
            <w:r w:rsidRPr="0085058A">
              <w:rPr>
                <w:rFonts w:ascii="Times New Roman" w:hAnsi="Times New Roman" w:cs="Times New Roman"/>
              </w:rPr>
              <w:t>koniecznościkształtowania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praw i obowiązków zgodnie z zasadą praworządności.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Uwaga odnosi się analogicznie do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8 ust. 6 </w:t>
            </w:r>
            <w:r w:rsidRPr="0085058A">
              <w:rPr>
                <w:rFonts w:ascii="Times New Roman" w:hAnsi="Times New Roman" w:cs="Times New Roman"/>
              </w:rPr>
              <w:t>projektu ustawy.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Uzupełniono we wskazanym zakresie uzasadnienie.</w:t>
            </w:r>
          </w:p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</w:rPr>
              <w:t xml:space="preserve">Minister właściwy do spraw pracy udostępni w Systemie wzory, sporządzone zgodnie z przepisami prawa pracy. Zakres danych we wzorach będzie </w:t>
            </w:r>
            <w:r w:rsidR="006D2CCF" w:rsidRPr="0085058A">
              <w:rPr>
                <w:rFonts w:ascii="Times New Roman" w:hAnsi="Times New Roman" w:cs="Times New Roman"/>
              </w:rPr>
              <w:t>analogiczny do danych wynikających z Kodeksu</w:t>
            </w:r>
            <w:r w:rsidRPr="0085058A">
              <w:rPr>
                <w:rFonts w:ascii="Times New Roman" w:hAnsi="Times New Roman" w:cs="Times New Roman"/>
              </w:rPr>
              <w:t xml:space="preserve"> pracy i Kodeksu cywilnego. Wzory będą uaktualniane zgodnie ze zmieniającymi się przepisami. Wydawanie aktu wykonawczego jest niecelowe i stanowiłoby powtórzenie istniejących przepisów na gruncie prawa pracy i Kodeksu cywilnego 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Cs/>
              </w:rPr>
              <w:t>Art. 7 ust. 1 pkt 2 lit. b; Art. 7 pkt 4 lit. b</w:t>
            </w:r>
            <w:r w:rsidRPr="0085058A">
              <w:rPr>
                <w:rFonts w:ascii="Times New Roman" w:hAnsi="Times New Roman" w:cs="Times New Roman"/>
              </w:rPr>
              <w:t xml:space="preserve">; </w:t>
            </w:r>
            <w:r w:rsidRPr="0085058A">
              <w:rPr>
                <w:rFonts w:ascii="Times New Roman" w:hAnsi="Times New Roman" w:cs="Times New Roman"/>
                <w:bCs/>
              </w:rPr>
              <w:t>Art. 7 ust. 5</w:t>
            </w: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7 ust. 1 pkt 2 lit. b </w:t>
            </w:r>
            <w:r w:rsidRPr="0085058A">
              <w:rPr>
                <w:rFonts w:ascii="Times New Roman" w:hAnsi="Times New Roman" w:cs="Times New Roman"/>
              </w:rPr>
              <w:t xml:space="preserve">projektu ustawy pracodawca wprowadza do systemu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„dane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zleceniobiorcy w tym: (…)”</w:t>
            </w:r>
            <w:r w:rsidRPr="0085058A">
              <w:rPr>
                <w:rFonts w:ascii="Times New Roman" w:hAnsi="Times New Roman" w:cs="Times New Roman"/>
              </w:rPr>
              <w:t xml:space="preserve">. Użycie zwrotu </w:t>
            </w:r>
            <w:r w:rsidRPr="0085058A">
              <w:rPr>
                <w:rFonts w:ascii="Times New Roman" w:hAnsi="Times New Roman" w:cs="Times New Roman"/>
                <w:b/>
              </w:rPr>
              <w:t>„w tym”</w:t>
            </w:r>
            <w:r w:rsidRPr="0085058A">
              <w:rPr>
                <w:rFonts w:ascii="Times New Roman" w:hAnsi="Times New Roman" w:cs="Times New Roman"/>
              </w:rPr>
              <w:t xml:space="preserve"> tworzy w omawianym przypadku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otwarty katalog danych osobowych i sugeruje, że mogą być przetwarzane dane osobowe w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zakresie szerszym niż wynika to wprost z omawianego przepisu, tj. w zakresie właściwie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dowolnym. </w:t>
            </w:r>
            <w:r w:rsidRPr="0085058A">
              <w:rPr>
                <w:rFonts w:ascii="Times New Roman" w:hAnsi="Times New Roman" w:cs="Times New Roman"/>
              </w:rPr>
              <w:lastRenderedPageBreak/>
              <w:t>Przyjęcie takiego rozwiązania powodować będzie problemy interpretacyjne i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dowolność co do zakresu przetwarzanych danych osobowych. Celem wyeliminowania tego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rodzaju problemów należy usunąć zwrot „w tym” z projektowanego przepisu.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Odpowiadałoby to zasadzie ograniczenia celu (art. 5 ust. 1 lit. b) oraz zasadzie minimalizacji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danych (art. 5 ust. 1 lit. c rozporządzenia 2016/679).</w:t>
            </w:r>
          </w:p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Uwaga odnosi się analogicznie do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>art. 7 pkt 4 lit. b</w:t>
            </w:r>
            <w:r w:rsidRPr="0085058A">
              <w:rPr>
                <w:rFonts w:ascii="Times New Roman" w:hAnsi="Times New Roman" w:cs="Times New Roman"/>
              </w:rPr>
              <w:t xml:space="preserve">;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7 ust. 5 </w:t>
            </w:r>
            <w:r w:rsidRPr="0085058A">
              <w:rPr>
                <w:rFonts w:ascii="Times New Roman" w:hAnsi="Times New Roman" w:cs="Times New Roman"/>
              </w:rPr>
              <w:t>projektu ustawy.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6232D8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uwzględniona.</w:t>
            </w:r>
            <w:r w:rsidR="006232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32D8" w:rsidRDefault="00F57C4A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Nowe brzmienie</w:t>
            </w:r>
            <w:r w:rsidR="006232D8">
              <w:rPr>
                <w:rFonts w:ascii="Times New Roman" w:hAnsi="Times New Roman" w:cs="Times New Roman"/>
                <w:b/>
              </w:rPr>
              <w:t>:</w:t>
            </w:r>
          </w:p>
          <w:p w:rsidR="00F57C4A" w:rsidRDefault="00F57C4A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6 ust. 1 pkt 2 lit. a</w:t>
            </w:r>
          </w:p>
          <w:p w:rsidR="00F57C4A" w:rsidRPr="00F57C4A" w:rsidRDefault="00F57C4A" w:rsidP="00F57C4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Pr="00F57C4A">
              <w:rPr>
                <w:rFonts w:ascii="Times New Roman" w:hAnsi="Times New Roman" w:cs="Times New Roman"/>
                <w:i/>
              </w:rPr>
              <w:t>art. 734 i art. 750 ustawy z dnia 23 kwietnia 1964 r. – Kodeks cywilny zleceniodawca wprowadza do Systemu:</w:t>
            </w:r>
          </w:p>
          <w:p w:rsidR="00F57C4A" w:rsidRPr="00F57C4A" w:rsidRDefault="00F57C4A" w:rsidP="00F57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7C4A">
              <w:rPr>
                <w:rFonts w:ascii="Times New Roman" w:hAnsi="Times New Roman" w:cs="Times New Roman"/>
                <w:i/>
              </w:rPr>
              <w:t>a)</w:t>
            </w:r>
            <w:r w:rsidRPr="00F57C4A">
              <w:rPr>
                <w:rFonts w:ascii="Times New Roman" w:hAnsi="Times New Roman" w:cs="Times New Roman"/>
                <w:i/>
              </w:rPr>
              <w:tab/>
              <w:t>dane, o których mowa w pkt 1 lit. b, dotyczące zleceniodawcy,</w:t>
            </w:r>
            <w:r>
              <w:rPr>
                <w:rFonts w:ascii="Times New Roman" w:hAnsi="Times New Roman" w:cs="Times New Roman"/>
                <w:i/>
              </w:rPr>
              <w:t xml:space="preserve">”; </w:t>
            </w:r>
          </w:p>
          <w:p w:rsidR="00CA65BD" w:rsidRPr="007737C2" w:rsidRDefault="007737C2" w:rsidP="00CA65B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Art. 7 ust. 4 </w:t>
            </w:r>
            <w:r w:rsidRPr="007737C2">
              <w:rPr>
                <w:rFonts w:ascii="Times New Roman" w:hAnsi="Times New Roman" w:cs="Times New Roman"/>
                <w:i/>
              </w:rPr>
              <w:t>„W celu zapewnienia prawidłowej obsługi umów pracownik, zleceniobiorca i niania wprowadzają do Systemu numer telefonu oraz adres poczty elektronicznej. Dane, o których mowa w zdaniu pierwszym nie są udostępniane  pracodawcy, zleceniodawcy albo rodzicom</w:t>
            </w:r>
            <w:r w:rsidRPr="007737C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”. 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7 ust. 5</w:t>
            </w: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W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7 ust. 5 </w:t>
            </w:r>
            <w:r w:rsidRPr="0085058A">
              <w:rPr>
                <w:rFonts w:ascii="Times New Roman" w:hAnsi="Times New Roman" w:cs="Times New Roman"/>
              </w:rPr>
              <w:t xml:space="preserve">projektu ustawy proponuje się,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„Pracownik, zleceniobiorca, niania i</w:t>
            </w:r>
            <w:r w:rsidR="006D2CCF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pomocnik rolnika podają do Systemu dane służące do kontaktu, 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>w tym numer telefonu oraz</w:t>
            </w:r>
            <w:r w:rsidR="006D2CCF" w:rsidRPr="0085058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  <w:i/>
                <w:iCs/>
              </w:rPr>
              <w:t>adres poczty elektronicznej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.”. </w:t>
            </w:r>
            <w:r w:rsidRPr="0085058A">
              <w:rPr>
                <w:rFonts w:ascii="Times New Roman" w:hAnsi="Times New Roman" w:cs="Times New Roman"/>
              </w:rPr>
              <w:t>W polskim systemie prawnym nie ma ogólnego obowiązku</w:t>
            </w:r>
            <w:r w:rsidR="006D2CCF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posiadania numeru telefonu czy adresu poczty elektronicznej, a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de facto </w:t>
            </w:r>
            <w:r w:rsidRPr="0085058A">
              <w:rPr>
                <w:rFonts w:ascii="Times New Roman" w:hAnsi="Times New Roman" w:cs="Times New Roman"/>
              </w:rPr>
              <w:t>taki obowiązek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zostałby nałożony mocą tego przepisu na wszystkie osoby aktywne zawodowo w Polsce.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Adres zamieszkania jest daną wystarczającą do kontaktu z osobą, zaś numer telefonu i/lub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adres poczty elektronicznej powinny być podawane dobrowolnie. </w:t>
            </w:r>
            <w:r w:rsidRPr="0085058A">
              <w:rPr>
                <w:rFonts w:ascii="Times New Roman" w:hAnsi="Times New Roman" w:cs="Times New Roman"/>
              </w:rPr>
              <w:lastRenderedPageBreak/>
              <w:t>Odpowiadałoby to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zasadzie zgodności z prawem, rzetelności i przejrzystości (art. 5 ust. 1 lit. a), zasadzie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ograniczenia celu (art. 5 ust. 1 lit. b) oraz zasadzie minimalizacji danych (art. 5 ust. 1 lit. c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rozporządzenia 2016/679).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8B7AE4" w:rsidRPr="0085058A" w:rsidRDefault="008B7AE4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</w:t>
            </w:r>
            <w:r w:rsidR="00D23935" w:rsidRPr="0085058A">
              <w:rPr>
                <w:rFonts w:ascii="Times New Roman" w:hAnsi="Times New Roman" w:cs="Times New Roman"/>
                <w:b/>
              </w:rPr>
              <w:t>nie</w:t>
            </w:r>
            <w:r w:rsidRPr="0085058A">
              <w:rPr>
                <w:rFonts w:ascii="Times New Roman" w:hAnsi="Times New Roman" w:cs="Times New Roman"/>
                <w:b/>
              </w:rPr>
              <w:t>uwzględniona</w:t>
            </w:r>
            <w:r w:rsidRPr="0085058A">
              <w:rPr>
                <w:rFonts w:ascii="Times New Roman" w:hAnsi="Times New Roman" w:cs="Times New Roman"/>
              </w:rPr>
              <w:t xml:space="preserve">. </w:t>
            </w:r>
          </w:p>
          <w:p w:rsidR="00CA65BD" w:rsidRPr="0085058A" w:rsidRDefault="00D23935" w:rsidP="00196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Prowadzenie umów za pomocą Systemu nie jest obowiązkowe, jest alternatywą dla</w:t>
            </w:r>
            <w:r w:rsidR="00787F99" w:rsidRPr="0085058A">
              <w:rPr>
                <w:rFonts w:ascii="Times New Roman" w:hAnsi="Times New Roman" w:cs="Times New Roman"/>
              </w:rPr>
              <w:t xml:space="preserve"> </w:t>
            </w:r>
            <w:r w:rsidR="00A32268">
              <w:rPr>
                <w:rFonts w:ascii="Times New Roman" w:hAnsi="Times New Roman" w:cs="Times New Roman"/>
              </w:rPr>
              <w:t>dotychczasowych rozwiązań</w:t>
            </w:r>
            <w:r w:rsidR="00196564">
              <w:rPr>
                <w:rFonts w:ascii="Times New Roman" w:hAnsi="Times New Roman" w:cs="Times New Roman"/>
              </w:rPr>
              <w:t xml:space="preserve"> </w:t>
            </w:r>
            <w:r w:rsidR="00A32268">
              <w:rPr>
                <w:rFonts w:ascii="Times New Roman" w:hAnsi="Times New Roman" w:cs="Times New Roman"/>
              </w:rPr>
              <w:t>Zgodnie z projektow</w:t>
            </w:r>
            <w:r w:rsidR="008823F2">
              <w:rPr>
                <w:rFonts w:ascii="Times New Roman" w:hAnsi="Times New Roman" w:cs="Times New Roman"/>
              </w:rPr>
              <w:t>a</w:t>
            </w:r>
            <w:r w:rsidR="00A32268">
              <w:rPr>
                <w:rFonts w:ascii="Times New Roman" w:hAnsi="Times New Roman" w:cs="Times New Roman"/>
              </w:rPr>
              <w:t>nymi przepisami</w:t>
            </w:r>
            <w:r w:rsidR="00C633E7">
              <w:rPr>
                <w:rFonts w:ascii="Times New Roman" w:hAnsi="Times New Roman" w:cs="Times New Roman"/>
              </w:rPr>
              <w:t xml:space="preserve"> </w:t>
            </w:r>
            <w:r w:rsidR="00A32268">
              <w:rPr>
                <w:rFonts w:ascii="Times New Roman" w:hAnsi="Times New Roman" w:cs="Times New Roman"/>
              </w:rPr>
              <w:t xml:space="preserve">strony umowy muszą wyrazić zgodę na taką </w:t>
            </w:r>
            <w:r w:rsidR="00C633E7">
              <w:rPr>
                <w:rFonts w:ascii="Times New Roman" w:hAnsi="Times New Roman" w:cs="Times New Roman"/>
              </w:rPr>
              <w:t>formę</w:t>
            </w:r>
            <w:r w:rsidR="00A32268">
              <w:rPr>
                <w:rFonts w:ascii="Times New Roman" w:hAnsi="Times New Roman" w:cs="Times New Roman"/>
              </w:rPr>
              <w:t xml:space="preserve"> prowadzenia umów.  </w:t>
            </w:r>
            <w:r w:rsidRPr="0085058A">
              <w:rPr>
                <w:rFonts w:ascii="Times New Roman" w:hAnsi="Times New Roman" w:cs="Times New Roman"/>
              </w:rPr>
              <w:t xml:space="preserve"> Obowiązek podawania tych dwóch danych osobowych do Systemu ma na celu zapewnienie funkcjonalności Systemu oraz sprawnej obsługi umów</w:t>
            </w:r>
            <w:r w:rsidR="009A60DA" w:rsidRPr="0085058A">
              <w:rPr>
                <w:rFonts w:ascii="Times New Roman" w:hAnsi="Times New Roman" w:cs="Times New Roman"/>
              </w:rPr>
              <w:t xml:space="preserve">. </w:t>
            </w:r>
            <w:r w:rsidR="009A60DA" w:rsidRPr="0085058A">
              <w:rPr>
                <w:rFonts w:ascii="Times New Roman" w:hAnsi="Times New Roman" w:cs="Times New Roman"/>
                <w:iCs/>
              </w:rPr>
              <w:t>Pracownik, zlece</w:t>
            </w:r>
            <w:r w:rsidR="008B7AC7" w:rsidRPr="0085058A">
              <w:rPr>
                <w:rFonts w:ascii="Times New Roman" w:hAnsi="Times New Roman" w:cs="Times New Roman"/>
                <w:iCs/>
              </w:rPr>
              <w:t xml:space="preserve">niobiorca i niania muszą otrzymywać </w:t>
            </w:r>
            <w:r w:rsidR="009A60DA" w:rsidRPr="0085058A">
              <w:rPr>
                <w:rFonts w:ascii="Times New Roman" w:hAnsi="Times New Roman" w:cs="Times New Roman"/>
                <w:iCs/>
              </w:rPr>
              <w:t>informacje/k</w:t>
            </w:r>
            <w:r w:rsidR="008B7AC7" w:rsidRPr="0085058A">
              <w:rPr>
                <w:rFonts w:ascii="Times New Roman" w:hAnsi="Times New Roman" w:cs="Times New Roman"/>
                <w:iCs/>
              </w:rPr>
              <w:t xml:space="preserve">omunikaty </w:t>
            </w:r>
            <w:r w:rsidR="008B7AC7" w:rsidRPr="0085058A">
              <w:rPr>
                <w:rFonts w:ascii="Times New Roman" w:hAnsi="Times New Roman" w:cs="Times New Roman"/>
                <w:iCs/>
              </w:rPr>
              <w:lastRenderedPageBreak/>
              <w:t>wysyłane przez System w sposób elektroniczny</w:t>
            </w:r>
            <w:r w:rsidR="00196564">
              <w:rPr>
                <w:rFonts w:ascii="Times New Roman" w:hAnsi="Times New Roman" w:cs="Times New Roman"/>
                <w:iCs/>
              </w:rPr>
              <w:t>.</w:t>
            </w:r>
            <w:r w:rsidR="00196564">
              <w:rPr>
                <w:rFonts w:ascii="Times New Roman" w:hAnsi="Times New Roman" w:cs="Times New Roman"/>
                <w:iCs/>
              </w:rPr>
              <w:t xml:space="preserve"> </w:t>
            </w:r>
            <w:r w:rsidR="008B7AC7" w:rsidRPr="0085058A">
              <w:rPr>
                <w:rFonts w:ascii="Times New Roman" w:hAnsi="Times New Roman" w:cs="Times New Roman"/>
                <w:iCs/>
              </w:rPr>
              <w:t>Mają</w:t>
            </w:r>
            <w:r w:rsidR="00196564">
              <w:rPr>
                <w:rFonts w:ascii="Times New Roman" w:hAnsi="Times New Roman" w:cs="Times New Roman"/>
                <w:iCs/>
              </w:rPr>
              <w:t>c</w:t>
            </w:r>
            <w:r w:rsidR="008B7AC7" w:rsidRPr="0085058A">
              <w:rPr>
                <w:rFonts w:ascii="Times New Roman" w:hAnsi="Times New Roman" w:cs="Times New Roman"/>
                <w:iCs/>
              </w:rPr>
              <w:t xml:space="preserve"> na uwadze konieczność zapewnienia </w:t>
            </w:r>
            <w:r w:rsidR="0009363C" w:rsidRPr="0085058A">
              <w:rPr>
                <w:rFonts w:ascii="Times New Roman" w:hAnsi="Times New Roman" w:cs="Times New Roman"/>
              </w:rPr>
              <w:t>zgodności z prawem, rzetelności i przejrzystości (art. 5 ust. 1 lit. a), zasadzie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="0009363C" w:rsidRPr="0085058A">
              <w:rPr>
                <w:rFonts w:ascii="Times New Roman" w:hAnsi="Times New Roman" w:cs="Times New Roman"/>
              </w:rPr>
              <w:t>ograniczenia celu (art. 5 ust. 1 lit. b) oraz zasadzie minimalizacji danych (art. 5 ust. 1 lit. c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="0009363C" w:rsidRPr="0085058A">
              <w:rPr>
                <w:rFonts w:ascii="Times New Roman" w:hAnsi="Times New Roman" w:cs="Times New Roman"/>
              </w:rPr>
              <w:t xml:space="preserve">rozporządzenia 2016/679) przepis został doprecyzowany 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8 ust. 2</w:t>
            </w: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8 ust. 2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„W przypadku, o którym mowa w ust. 1, System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zawiadamia strony umowy o: 1) otrzymaniu oświadczenia woli strony umowy, wniosku albo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innych dokumentów, 2) dokonanej zmianie w danych, o których mowa w art. 7 – przez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wysłanie krótkiej wiadomości tekstowej (SMS) na numer telefonu oraz wiadomości na adres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poczty elektronicznej podanej przez strony umowy do kontaktu.”. </w:t>
            </w:r>
            <w:r w:rsidRPr="0085058A">
              <w:rPr>
                <w:rFonts w:ascii="Times New Roman" w:hAnsi="Times New Roman" w:cs="Times New Roman"/>
              </w:rPr>
              <w:t>Projektodawca powinien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przewidzieć alternatywne – do korzystania z pośrednictwa poczty elektronicznej i telefonu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– metody przekazywania powiadomień dla stron umów – tak aby nie były zobowiązane do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korzystania z takich narzędzi jak prywatny numer telefonu i adres poczty elektronicznej.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Do omawianej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uwagi odnosi się analogicznie argumentacja z uwagi do </w:t>
            </w: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7 ust. 5 </w:t>
            </w:r>
            <w:r w:rsidRPr="0085058A">
              <w:rPr>
                <w:rFonts w:ascii="Times New Roman" w:hAnsi="Times New Roman" w:cs="Times New Roman"/>
              </w:rPr>
              <w:t>projektu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ustawy.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A60DA" w:rsidRPr="0085058A" w:rsidRDefault="009A60DA" w:rsidP="009A60DA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nieuwzględniona</w:t>
            </w:r>
            <w:r w:rsidRPr="0085058A">
              <w:rPr>
                <w:rFonts w:ascii="Times New Roman" w:hAnsi="Times New Roman" w:cs="Times New Roman"/>
              </w:rPr>
              <w:t xml:space="preserve">. </w:t>
            </w:r>
          </w:p>
          <w:p w:rsidR="009A60DA" w:rsidRPr="0085058A" w:rsidRDefault="009A60DA" w:rsidP="009A60DA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Numer telefonu oraz adres poczty elektronicznej gwarantuje skuteczny kontakt z </w:t>
            </w:r>
            <w:r w:rsidRPr="0085058A">
              <w:rPr>
                <w:rFonts w:ascii="Times New Roman" w:hAnsi="Times New Roman" w:cs="Times New Roman"/>
                <w:iCs/>
              </w:rPr>
              <w:t>pracownikiem, zleceniobiorcą i nianią w razie np. kradzieży telefonu, awarii komputera i braku dostępu do poczty.</w:t>
            </w:r>
            <w:r w:rsidRPr="0085058A">
              <w:rPr>
                <w:rFonts w:ascii="Times New Roman" w:hAnsi="Times New Roman" w:cs="Times New Roman"/>
              </w:rPr>
              <w:t xml:space="preserve"> </w:t>
            </w:r>
          </w:p>
          <w:p w:rsidR="00CA65BD" w:rsidRPr="0085058A" w:rsidRDefault="009A60DA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Nadto patrz  komentarz do uwagi nr 14 (art. 7 ust. 5)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Art. 10 ust. 1</w:t>
            </w: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Urząd Ochrony Danych Osobowych</w:t>
            </w:r>
          </w:p>
        </w:tc>
        <w:tc>
          <w:tcPr>
            <w:tcW w:w="3523" w:type="dxa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10 ust. 1 </w:t>
            </w:r>
            <w:r w:rsidRPr="0085058A">
              <w:rPr>
                <w:rFonts w:ascii="Times New Roman" w:hAnsi="Times New Roman" w:cs="Times New Roman"/>
              </w:rPr>
              <w:t xml:space="preserve">projektu ustawy przewiduje, że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„Minister właściwy do spraw pracy realizuje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>obowiązki pracodawcy, o których mowa w art. 947 § 1 ustawy z dnia 26 czerwca 1974 r. –</w:t>
            </w:r>
            <w:r w:rsidR="00FD6448" w:rsidRPr="00850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058A">
              <w:rPr>
                <w:rFonts w:ascii="Times New Roman" w:hAnsi="Times New Roman" w:cs="Times New Roman"/>
                <w:i/>
                <w:iCs/>
              </w:rPr>
              <w:t xml:space="preserve">Kodeks pracy.”. </w:t>
            </w:r>
            <w:r w:rsidRPr="0085058A">
              <w:rPr>
                <w:rFonts w:ascii="Times New Roman" w:hAnsi="Times New Roman" w:cs="Times New Roman"/>
              </w:rPr>
              <w:t>Art. 94</w:t>
            </w:r>
            <w:bookmarkStart w:id="2" w:name="_GoBack"/>
            <w:r w:rsidRPr="00FF67B5">
              <w:rPr>
                <w:rFonts w:ascii="Times New Roman" w:hAnsi="Times New Roman" w:cs="Times New Roman"/>
                <w:vertAlign w:val="superscript"/>
              </w:rPr>
              <w:t>7</w:t>
            </w:r>
            <w:bookmarkEnd w:id="2"/>
            <w:r w:rsidRPr="0085058A">
              <w:rPr>
                <w:rFonts w:ascii="Times New Roman" w:hAnsi="Times New Roman" w:cs="Times New Roman"/>
              </w:rPr>
              <w:t xml:space="preserve"> § 1 Kodeksu pracy dotyczy obowiązku niszczenia dokumentacji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pracowniczej. Uzasadnionym jest pytanie o przeanalizowanie przez projektodawcę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wszystkich konsekwencji rozwiązania planowanego projektowanym przepisem. Jeśli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bowiem minister właściwy do spraw pracy ma realizować obowiązki pracodawcy w zakresie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niszczenia dokumentacji, to będzie również ponosił odpowiedzialność za niezrealizowanie</w:t>
            </w:r>
          </w:p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tych obowiązków przez poszczególnych pracodawców. </w:t>
            </w:r>
            <w:r w:rsidRPr="0085058A">
              <w:rPr>
                <w:rFonts w:ascii="Times New Roman" w:hAnsi="Times New Roman" w:cs="Times New Roman"/>
                <w:b/>
              </w:rPr>
              <w:t>Dotyczy to w szczególności sytuacji</w:t>
            </w:r>
            <w:r w:rsidR="00FD6448" w:rsidRPr="0085058A">
              <w:rPr>
                <w:rFonts w:ascii="Times New Roman" w:hAnsi="Times New Roman" w:cs="Times New Roman"/>
                <w:b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</w:rPr>
              <w:t>kiedy pracodawca nie zniszczy nieodwracalnie dokumentów, o których mowa w art. 94</w:t>
            </w:r>
            <w:r w:rsidRPr="0085058A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r w:rsidRPr="0085058A">
              <w:rPr>
                <w:rFonts w:ascii="Times New Roman" w:hAnsi="Times New Roman" w:cs="Times New Roman"/>
                <w:b/>
              </w:rPr>
              <w:t xml:space="preserve"> §</w:t>
            </w:r>
            <w:r w:rsidR="00FD6448" w:rsidRPr="0085058A">
              <w:rPr>
                <w:rFonts w:ascii="Times New Roman" w:hAnsi="Times New Roman" w:cs="Times New Roman"/>
                <w:b/>
              </w:rPr>
              <w:t xml:space="preserve"> </w:t>
            </w:r>
            <w:r w:rsidRPr="0085058A">
              <w:rPr>
                <w:rFonts w:ascii="Times New Roman" w:hAnsi="Times New Roman" w:cs="Times New Roman"/>
                <w:b/>
              </w:rPr>
              <w:t>1 Kodeksu pracy i będzie je przetwarzał dalej bez podstawy prawnej</w:t>
            </w:r>
            <w:r w:rsidRPr="0085058A">
              <w:rPr>
                <w:rFonts w:ascii="Times New Roman" w:hAnsi="Times New Roman" w:cs="Times New Roman"/>
              </w:rPr>
              <w:t>. Wyjaśnienie i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 xml:space="preserve">odpowiednie zredagowanie tego przepisu co do zakresu obowiązków </w:t>
            </w:r>
            <w:r w:rsidRPr="0085058A">
              <w:rPr>
                <w:rFonts w:ascii="Times New Roman" w:hAnsi="Times New Roman" w:cs="Times New Roman"/>
              </w:rPr>
              <w:lastRenderedPageBreak/>
              <w:t>i przyznania ich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odpowiednim adresatom normy jest konieczne z punktu widzenia zasady zgodności z</w:t>
            </w:r>
            <w:r w:rsidR="00FD6448" w:rsidRPr="0085058A">
              <w:rPr>
                <w:rFonts w:ascii="Times New Roman" w:hAnsi="Times New Roman" w:cs="Times New Roman"/>
              </w:rPr>
              <w:t xml:space="preserve"> </w:t>
            </w:r>
            <w:r w:rsidRPr="0085058A">
              <w:rPr>
                <w:rFonts w:ascii="Times New Roman" w:hAnsi="Times New Roman" w:cs="Times New Roman"/>
              </w:rPr>
              <w:t>prawem, rzetelności i przejrzystości (art. 5 ust. 1 lit. a rozporządzenia 2016/679).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CA65BD" w:rsidRPr="0085058A" w:rsidRDefault="009A60DA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 xml:space="preserve">Uwaga uwzględniona. </w:t>
            </w:r>
          </w:p>
          <w:p w:rsidR="009A60DA" w:rsidRPr="0085058A" w:rsidRDefault="009A60DA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Uzupełniono uzasadnienie.</w:t>
            </w:r>
          </w:p>
        </w:tc>
      </w:tr>
      <w:tr w:rsidR="00FD6448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FD6448" w:rsidRPr="008823F2" w:rsidRDefault="00FD6448" w:rsidP="008823F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23F2">
              <w:rPr>
                <w:rFonts w:ascii="Times New Roman" w:hAnsi="Times New Roman" w:cs="Times New Roman"/>
                <w:b/>
              </w:rPr>
              <w:t>NSZZ „Solidarność”</w:t>
            </w:r>
          </w:p>
        </w:tc>
      </w:tr>
      <w:tr w:rsidR="00CA65BD" w:rsidRPr="0085058A" w:rsidTr="00787F99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 xml:space="preserve">Art. 1 ust. 2 </w:t>
            </w:r>
          </w:p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NSZZ „Solidarność”</w:t>
            </w:r>
          </w:p>
        </w:tc>
        <w:tc>
          <w:tcPr>
            <w:tcW w:w="3523" w:type="dxa"/>
          </w:tcPr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>W przypadku umów o pracę możliwe jest także ich wygaśnięcie, co jest innym sposobem ustania stosunku pracy od rozwiązania umowy. Jakkolwiek do wygaśnięcia dochodzi z mocy prawa, bez składania oświadczeń woli przez którąkolwiek ze stron, to jednak także wówczas powstają określone konsekwencje, chociażby wydanie świadectwa pracy. W związku z tym wydaje się zasadne dodanie w projektowanym przepisie, że obsługa umowy obejmuje także jej wygaśnięcie.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shd w:val="clear" w:color="auto" w:fill="auto"/>
          </w:tcPr>
          <w:p w:rsidR="00CA65BD" w:rsidRPr="0085058A" w:rsidRDefault="00FD6448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Definicja </w:t>
            </w:r>
            <w:r w:rsidR="00787F99" w:rsidRPr="0085058A">
              <w:rPr>
                <w:rFonts w:ascii="Times New Roman" w:hAnsi="Times New Roman" w:cs="Times New Roman"/>
              </w:rPr>
              <w:t>obsługi umów w systemie teleinformatycznym umów zawarta w art. 1 ust. 2 projektu jest bardzo szeroka. Obejmuje ona m.in. dokonywanie innych czynności niezbędnych do realizacji praw i obowiązków wynikających z takiej umowy, przez które należy rozumieć również czynności związane z wygaśnięciem umowy.</w:t>
            </w:r>
            <w:r w:rsidR="00787F99" w:rsidRPr="0085058A">
              <w:rPr>
                <w:rFonts w:ascii="Times New Roman" w:hAnsi="Times New Roman" w:cs="Times New Roman"/>
                <w:shd w:val="clear" w:color="auto" w:fill="92D050"/>
              </w:rPr>
              <w:t xml:space="preserve"> 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Art. 6 ust. 1</w:t>
            </w:r>
          </w:p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NSZZ „Solidarność”</w:t>
            </w:r>
          </w:p>
        </w:tc>
        <w:tc>
          <w:tcPr>
            <w:tcW w:w="3523" w:type="dxa"/>
          </w:tcPr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>Ustawodawca nie precyzuje formy, w jakiej ma zostać wyrażona zgoda obu stron na zawarcie umowy za pośrednictwem systemu, w tym zwłaszcza zgoda pracownika. Ze względu na doniosłość tej kwestii należałoby wskazać na formę pisemną owej zgody.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0E4DFD" w:rsidRPr="0085058A" w:rsidRDefault="000E4DFD" w:rsidP="009A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65BD" w:rsidRPr="0085058A" w:rsidRDefault="009A60DA" w:rsidP="00787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Zgoda pracownika i pracodawcy, zleceniodawcy i zleceniobiorcy, rodziców i niani może być udzielona w sposób dowolny. Dorozumianym potwierdzeniem wyrażenia tejże</w:t>
            </w:r>
            <w:r w:rsidR="00FD6448" w:rsidRPr="0085058A">
              <w:rPr>
                <w:rFonts w:ascii="Times New Roman" w:hAnsi="Times New Roman" w:cs="Times New Roman"/>
              </w:rPr>
              <w:t xml:space="preserve"> zgody będzie podpisanie umowy.</w:t>
            </w:r>
          </w:p>
        </w:tc>
      </w:tr>
      <w:tr w:rsidR="00CA65BD" w:rsidRPr="0085058A" w:rsidTr="00CA65BD">
        <w:trPr>
          <w:jc w:val="center"/>
        </w:trPr>
        <w:tc>
          <w:tcPr>
            <w:tcW w:w="534" w:type="dxa"/>
          </w:tcPr>
          <w:p w:rsidR="00CA65BD" w:rsidRPr="0085058A" w:rsidRDefault="00CA65BD" w:rsidP="00CA65BD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/>
                <w:bCs/>
              </w:rPr>
              <w:t>Art. 7 ust. 4</w:t>
            </w:r>
          </w:p>
          <w:p w:rsidR="00CA65BD" w:rsidRPr="0085058A" w:rsidRDefault="00CA65BD" w:rsidP="00CA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NSZZ „Solidarność”</w:t>
            </w:r>
          </w:p>
        </w:tc>
        <w:tc>
          <w:tcPr>
            <w:tcW w:w="3523" w:type="dxa"/>
          </w:tcPr>
          <w:p w:rsidR="00CA65BD" w:rsidRPr="0085058A" w:rsidRDefault="00CA65BD" w:rsidP="00CA6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 xml:space="preserve">Przepis milczy na temat danych potrzebnych do zmiany umowy, co ma szczególne znaczenie w </w:t>
            </w:r>
            <w:r w:rsidRPr="0085058A">
              <w:rPr>
                <w:rFonts w:ascii="Times New Roman" w:hAnsi="Times New Roman" w:cs="Times New Roman"/>
                <w:bCs/>
              </w:rPr>
              <w:lastRenderedPageBreak/>
              <w:t xml:space="preserve">kontekście wypowiedzenia zmieniającego. </w:t>
            </w:r>
          </w:p>
          <w:p w:rsidR="00CA65BD" w:rsidRPr="0085058A" w:rsidRDefault="00CA65BD" w:rsidP="00FD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  <w:bCs/>
              </w:rPr>
              <w:t xml:space="preserve">W tym miejscu można wskazać także na fakt że, w przypadku umów zawartych na czas nieokreślony złożenie przez pracodawcę wypowiedzenia (jak i wypowiedzenia zmieniającego) powinno być poprzedzone konsultacją z zakładową organizacją związkową reprezentującą pracownika. Jakkolwiek poziom uzwiązkowienia pracowników zatrudnionych przez pracodawców objętych zakresem projektowanej ustawy nie jest wysoki, nie może to jednak być argumentem za ograniczaniem praw związkowych pracowników. W szerszym kontekście dotyczy to również innych sytuacji, w których przepisy prawa pracy nakazują pracodawcy prowadzenie szeroko rozumianego dialogu z zakładową organizacją związkową odnośnie sytuacji indywidualnego pracownika (np. w procedurze rozpatrzenia sprzeciwu od kary porządkowej, czy też wyrażenia zgody na rozwiązanie stosunku pracy bez wypowiedzenia z winy pracownicy w ciąży). Tym samym zasadne jest pytanie czy pominięcie w projekcie ustawy tej materii było działaniem </w:t>
            </w:r>
            <w:r w:rsidRPr="0085058A">
              <w:rPr>
                <w:rFonts w:ascii="Times New Roman" w:hAnsi="Times New Roman" w:cs="Times New Roman"/>
                <w:bCs/>
              </w:rPr>
              <w:lastRenderedPageBreak/>
              <w:t>zamierzonym (relacja na linii strona związkowa – pracodawca przebiega według reguł ogólnych wynikających z Kodeksu pracy i pozostałych przepisów prawa pracy), czy też jest niedopatrzeniem projektodawcy.</w:t>
            </w:r>
          </w:p>
        </w:tc>
        <w:tc>
          <w:tcPr>
            <w:tcW w:w="3518" w:type="dxa"/>
            <w:vAlign w:val="center"/>
          </w:tcPr>
          <w:p w:rsidR="00CA65BD" w:rsidRPr="0085058A" w:rsidRDefault="00CA65BD" w:rsidP="00CA6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324929" w:rsidRPr="0085058A" w:rsidRDefault="00324929" w:rsidP="00CA65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bezprzedmiotowa.</w:t>
            </w:r>
          </w:p>
          <w:p w:rsidR="00CA65BD" w:rsidRPr="0085058A" w:rsidRDefault="00FE57E6" w:rsidP="00787F99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Treść </w:t>
            </w:r>
            <w:r w:rsidR="00787F99" w:rsidRPr="0085058A">
              <w:rPr>
                <w:rFonts w:ascii="Times New Roman" w:hAnsi="Times New Roman" w:cs="Times New Roman"/>
              </w:rPr>
              <w:t>przepisu</w:t>
            </w:r>
            <w:r w:rsidRPr="0085058A">
              <w:rPr>
                <w:rFonts w:ascii="Times New Roman" w:hAnsi="Times New Roman" w:cs="Times New Roman"/>
              </w:rPr>
              <w:t xml:space="preserve"> nie będzie kolidowała z koniecznością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konsultacji </w:t>
            </w:r>
            <w:r w:rsidRPr="0085058A">
              <w:rPr>
                <w:rFonts w:ascii="Times New Roman" w:hAnsi="Times New Roman" w:cs="Times New Roman"/>
                <w:bCs/>
              </w:rPr>
              <w:t>z zakładową organizacją związkową reprezentującą pracownika ani wpływała na relacje na linii strona związkowa – pracodawca. Relacje te będą przebiegały według reguł ogólnych wynikających z Kodeksu pracy i pozostałych przepisów prawa pracy</w:t>
            </w:r>
            <w:r w:rsidR="00787F99" w:rsidRPr="0085058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87F99" w:rsidRPr="0085058A" w:rsidTr="008823F2">
        <w:trPr>
          <w:jc w:val="center"/>
        </w:trPr>
        <w:tc>
          <w:tcPr>
            <w:tcW w:w="13994" w:type="dxa"/>
            <w:gridSpan w:val="6"/>
            <w:shd w:val="clear" w:color="auto" w:fill="00B0F0"/>
          </w:tcPr>
          <w:p w:rsidR="00787F99" w:rsidRPr="0085058A" w:rsidRDefault="00787F99" w:rsidP="00787F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5058A">
              <w:rPr>
                <w:b/>
                <w:sz w:val="22"/>
                <w:szCs w:val="22"/>
              </w:rPr>
              <w:lastRenderedPageBreak/>
              <w:t>Fundacja Platforma Przemysłu Przyszłości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1.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3. Umowy, o których mowa w: </w:t>
            </w:r>
          </w:p>
          <w:p w:rsidR="00CF27A8" w:rsidRPr="0085058A" w:rsidRDefault="00CF27A8" w:rsidP="00CF27A8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1) art. 25 § 1 ustawy z dnia 26 czerwca 1974 r. – Kodeks pracy oraz w art. 734 i art. 750 ustawy z dnia 23 kwietnia 1964 r. – Kodeks cywilny, mogą być obsługiwane w systemie teleinformatycznym w przypadku, gdy pracodawca lub zleceniodawca… </w:t>
            </w: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Na podstawie wprowadzenia należy wnioskować, że proponowana ustawa nie dotyczy MŚP i dużych przedsiębiorstw.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Przedmiot ustawy (tj. obsługa umów w systemie teleinformatycznym), sformułowano w postaci: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„Umowy, o których mowa (…) mogą być obsługiwane w systemie teleinformatycznym w przypadku, gdy pracodawca lub zleceniodawca jest: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a) </w:t>
            </w:r>
            <w:proofErr w:type="spellStart"/>
            <w:r w:rsidRPr="0085058A">
              <w:rPr>
                <w:sz w:val="22"/>
                <w:szCs w:val="22"/>
              </w:rPr>
              <w:t>mikroprzedsiębiorcą</w:t>
            </w:r>
            <w:proofErr w:type="spellEnd"/>
            <w:r w:rsidRPr="0085058A">
              <w:rPr>
                <w:sz w:val="22"/>
                <w:szCs w:val="22"/>
              </w:rPr>
              <w:t>, o którym mowa w art. 7 ust. 1 pkt 1 ustawy z dnia 6 marca 2018 r. – Prawo przedsiębiorców (Dz. U. z 2021 r. poz. 162 i 2105), zwanym dalej „</w:t>
            </w:r>
            <w:proofErr w:type="spellStart"/>
            <w:r w:rsidRPr="0085058A">
              <w:rPr>
                <w:sz w:val="22"/>
                <w:szCs w:val="22"/>
              </w:rPr>
              <w:t>mikroprzedsiębiorcą</w:t>
            </w:r>
            <w:proofErr w:type="spellEnd"/>
            <w:r w:rsidRPr="0085058A">
              <w:rPr>
                <w:sz w:val="22"/>
                <w:szCs w:val="22"/>
              </w:rPr>
              <w:t xml:space="preserve">”,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b) rolnikiem, o którym mowa w art. 6 pkt 1 ustawy z dnia 20 grudnia 1990 r.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 ubezpieczeniu społecznym rolników, zwanym dalej „rolnikiem”,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c) osobą fizyczną, która nie jest przedsiębiorcą w rozumieniu art. 4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ustawy z dnia 6 marca 2018 r. – Prawo przedsiębiorców lub rolnikiem”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Trudno mówić o kompleksowej propozycji zmian przepisów (i dostarczenia ważnego narzędzia - systemu informatycznego) bez wyjaśnienia, dlaczego zmiana dotyczy jedynie wybranych grup przedsiębiorców.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Proponowane jest włączenie MŚP oraz dużych przedsiębiorców do podmiotów uprawnionych.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Uwaga: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nie wskazano, czy trwają pracę nad odrębnym projektem ustawy dotyczącej pozostałych podmiotów (tj. MŚP itp.),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w przypadku odrębnej ustawy należy wskazać istotny powód braku uwzględnienia wspominanych wyżej grup przedsiębiorców w przedłożonym projekcie ustawy.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Podsumowanie: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Kluczowymi beneficjentami systemu informatycznego umożliwiającego zawieranie umów elektronicznie, są właśnie małe, średnie i duże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przedsiębiorstwa jak również jednostki administracji publicznej. </w:t>
            </w:r>
          </w:p>
        </w:tc>
        <w:tc>
          <w:tcPr>
            <w:tcW w:w="3058" w:type="dxa"/>
          </w:tcPr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lastRenderedPageBreak/>
              <w:t>Uwaga nieuwzględniona.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eastAsia="MyriadPro-Regular" w:hAnsi="Times New Roman" w:cs="Times New Roman"/>
              </w:rPr>
              <w:t xml:space="preserve">Projektowane rozwiązanie na obecnym etapie ma na celu ułatwienie zawierania prostych umów w typowych sytuacjach. Ustawa ma na celu </w:t>
            </w:r>
            <w:r w:rsidRPr="0085058A">
              <w:rPr>
                <w:rFonts w:ascii="Times New Roman" w:hAnsi="Times New Roman" w:cs="Times New Roman"/>
              </w:rPr>
              <w:t xml:space="preserve"> znaczne zmniejszenie obciążeń dla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mikroprzedsiębiorców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, rolników oraz osób fizycznych związanych z obowiązkami administracyjnymi przy powierzaniu pracy.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MyriadPro-Regular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Po wejściu w życie ustawy możliwa będzie z czasem (w razie pozytywnych sygnałów i zainteresowania innych podmiotów) nowelizacja przepisów ustawy i rozszerzenie jej zakres</w:t>
            </w:r>
            <w:r w:rsidR="00787F99" w:rsidRPr="0085058A">
              <w:rPr>
                <w:rFonts w:ascii="Times New Roman" w:hAnsi="Times New Roman" w:cs="Times New Roman"/>
              </w:rPr>
              <w:t>u podmiotowego i przedmiotowego.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Art. 2. ust. 5. W zakresie zawierania umów przez mikro przedsiębiorcę System jest zintegrowany z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systemem Punktu Informacji dla Przedsiębiorcy… </w:t>
            </w:r>
          </w:p>
          <w:p w:rsidR="00CF27A8" w:rsidRPr="0085058A" w:rsidRDefault="00CF27A8" w:rsidP="00CF2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W przypadku integracji Systemu z systemem Punktu Informacji dla Przedsiębiorcy, nie wskazano czy </w:t>
            </w:r>
            <w:proofErr w:type="spellStart"/>
            <w:r w:rsidRPr="0085058A">
              <w:rPr>
                <w:sz w:val="22"/>
                <w:szCs w:val="22"/>
              </w:rPr>
              <w:t>mikroprzedsiębiorca</w:t>
            </w:r>
            <w:proofErr w:type="spellEnd"/>
            <w:r w:rsidRPr="0085058A">
              <w:rPr>
                <w:sz w:val="22"/>
                <w:szCs w:val="22"/>
              </w:rPr>
              <w:t xml:space="preserve"> będący: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spółkami osób fizycznych,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stowarzyszeniami,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fundacjami,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też będą korzystać z Systemu objętego przedmiotem ustawy. </w:t>
            </w:r>
          </w:p>
          <w:p w:rsidR="00CF27A8" w:rsidRPr="0085058A" w:rsidRDefault="00CF27A8" w:rsidP="00787F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5058A">
              <w:rPr>
                <w:b/>
                <w:sz w:val="22"/>
                <w:szCs w:val="22"/>
              </w:rPr>
              <w:t xml:space="preserve">Dotychczas część funkcji realizowanych przez ww. podmioty odbywała się w innych systemach/platformach, np. w przypadku spółek z ograniczoną odpowiedzialnością był to portal S24 (spółki z o.o.), e-sprawozdania.mf.gov.pl (stowarzyszenia).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Doprecyzowanie, że </w:t>
            </w:r>
            <w:proofErr w:type="spellStart"/>
            <w:r w:rsidRPr="0085058A">
              <w:rPr>
                <w:sz w:val="22"/>
                <w:szCs w:val="22"/>
              </w:rPr>
              <w:t>mikroprzedsiębiorcy</w:t>
            </w:r>
            <w:proofErr w:type="spellEnd"/>
            <w:r w:rsidRPr="0085058A">
              <w:rPr>
                <w:sz w:val="22"/>
                <w:szCs w:val="22"/>
              </w:rPr>
              <w:t xml:space="preserve"> będący: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spółkami osób fizycznych,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stowarzyszeniami,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fundacjami,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korzystający z innych portali/platform online mają możliwość obsługi umów elektronicznie poprzez System? </w:t>
            </w:r>
          </w:p>
          <w:p w:rsidR="00CF27A8" w:rsidRPr="0085058A" w:rsidRDefault="00CF27A8" w:rsidP="00787F99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W tym przypadku istotne jest doprecyzowanie sposobu wykonania wskazanych czynności. Wskazanie czy ww. podmiotom zostanie udostępniona taka funkcja oraz w j</w:t>
            </w:r>
            <w:r w:rsidR="00787F99" w:rsidRPr="0085058A">
              <w:rPr>
                <w:sz w:val="22"/>
                <w:szCs w:val="22"/>
              </w:rPr>
              <w:t xml:space="preserve">akim zakresie funkcjonalności. </w:t>
            </w:r>
          </w:p>
        </w:tc>
        <w:tc>
          <w:tcPr>
            <w:tcW w:w="3058" w:type="dxa"/>
          </w:tcPr>
          <w:p w:rsidR="00CF27A8" w:rsidRPr="0085058A" w:rsidRDefault="0009363C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Ustawa ma na celu umożliwienie obsługi umów m.in. przez </w:t>
            </w:r>
            <w:proofErr w:type="spellStart"/>
            <w:r w:rsidRPr="0085058A">
              <w:rPr>
                <w:rFonts w:ascii="Times New Roman" w:hAnsi="Times New Roman" w:cs="Times New Roman"/>
              </w:rPr>
              <w:t>mikroprzedsieborców</w:t>
            </w:r>
            <w:proofErr w:type="spellEnd"/>
            <w:r w:rsidRPr="0085058A">
              <w:rPr>
                <w:rFonts w:ascii="Times New Roman" w:hAnsi="Times New Roman" w:cs="Times New Roman"/>
              </w:rPr>
              <w:t xml:space="preserve"> – bez względu na formę prawną w jaki</w:t>
            </w:r>
            <w:r w:rsidR="00787F99" w:rsidRPr="0085058A">
              <w:rPr>
                <w:rFonts w:ascii="Times New Roman" w:hAnsi="Times New Roman" w:cs="Times New Roman"/>
              </w:rPr>
              <w:t>ej prowadzą działalność.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4. ust. 1. System zapewnia następujące funkcjonalności… </w:t>
            </w:r>
          </w:p>
          <w:p w:rsidR="00CF27A8" w:rsidRPr="0085058A" w:rsidRDefault="00CF27A8" w:rsidP="00CF2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W wyrażeniu „System zapewnia następujące funkcjonalności” występuje błąd z punktu widzenia natury językowej oraz rozumienia cech Systemu. </w:t>
            </w:r>
          </w:p>
          <w:p w:rsidR="00CF27A8" w:rsidRPr="0085058A" w:rsidRDefault="00CF27A8" w:rsidP="00787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>Funkcjonalność może dotyczyć Systemu jako całości. Funkcje natomiast odpowiadają, za konkretne wymienione możliwości Systemu.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Propozycje korekty: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Art. 4. „1. System zapewnia funkcjonalność obejmującą:”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lub </w:t>
            </w:r>
          </w:p>
          <w:p w:rsidR="00CF27A8" w:rsidRPr="0085058A" w:rsidRDefault="00CF27A8" w:rsidP="00787F99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• Art. 4. „1</w:t>
            </w:r>
            <w:r w:rsidRPr="0085058A">
              <w:rPr>
                <w:b/>
                <w:sz w:val="22"/>
                <w:szCs w:val="22"/>
              </w:rPr>
              <w:t xml:space="preserve">. System zapewnia następujące funkcje:” </w:t>
            </w:r>
          </w:p>
        </w:tc>
        <w:tc>
          <w:tcPr>
            <w:tcW w:w="3058" w:type="dxa"/>
          </w:tcPr>
          <w:p w:rsidR="00CF27A8" w:rsidRDefault="00CF27A8" w:rsidP="00CF27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8A">
              <w:rPr>
                <w:rFonts w:ascii="Times New Roman" w:hAnsi="Times New Roman" w:cs="Times New Roman"/>
                <w:b/>
              </w:rPr>
              <w:t>Uwaga uwzględniona.</w:t>
            </w:r>
          </w:p>
          <w:p w:rsidR="007737C2" w:rsidRPr="007737C2" w:rsidRDefault="007737C2" w:rsidP="00F15B0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Nowe brzmienie wprowadzenia do wyliczenia art. 4 ust. 1 </w:t>
            </w:r>
            <w:r>
              <w:rPr>
                <w:rFonts w:ascii="Times New Roman" w:hAnsi="Times New Roman" w:cs="Times New Roman"/>
                <w:i/>
              </w:rPr>
              <w:t>„</w:t>
            </w:r>
            <w:r w:rsidRPr="007737C2">
              <w:rPr>
                <w:rFonts w:ascii="Times New Roman" w:hAnsi="Times New Roman" w:cs="Times New Roman"/>
                <w:i/>
              </w:rPr>
              <w:t>System za</w:t>
            </w:r>
            <w:r w:rsidR="00F15B0E">
              <w:rPr>
                <w:rFonts w:ascii="Times New Roman" w:hAnsi="Times New Roman" w:cs="Times New Roman"/>
                <w:i/>
              </w:rPr>
              <w:t xml:space="preserve">pewnia </w:t>
            </w:r>
            <w:r w:rsidRPr="007737C2">
              <w:rPr>
                <w:rFonts w:ascii="Times New Roman" w:hAnsi="Times New Roman" w:cs="Times New Roman"/>
                <w:i/>
              </w:rPr>
              <w:t>następujące funkcjonalności:</w:t>
            </w:r>
            <w:r>
              <w:rPr>
                <w:rFonts w:ascii="Times New Roman" w:hAnsi="Times New Roman" w:cs="Times New Roman"/>
                <w:i/>
              </w:rPr>
              <w:t xml:space="preserve">”. 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4. ust. 1. System zapewnia </w:t>
            </w:r>
            <w:r w:rsidRPr="0085058A">
              <w:rPr>
                <w:sz w:val="22"/>
                <w:szCs w:val="22"/>
              </w:rPr>
              <w:lastRenderedPageBreak/>
              <w:t xml:space="preserve">następujące funkcjonalności… </w:t>
            </w:r>
          </w:p>
          <w:p w:rsidR="00CF27A8" w:rsidRPr="0085058A" w:rsidRDefault="00CF27A8" w:rsidP="00CF2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Fundacja Platforma Przemysłu Przyszłości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W związku z tym, że USTAWA dotyczy „zawarcia, zmiany lub rozwiązania umowy oraz dokonywanie innych czynności </w:t>
            </w:r>
            <w:r w:rsidRPr="0085058A">
              <w:rPr>
                <w:sz w:val="22"/>
                <w:szCs w:val="22"/>
              </w:rPr>
              <w:lastRenderedPageBreak/>
              <w:t xml:space="preserve">niezbędnych do realizacji praw i obowiązków wynikających z takiej umowy”, w tym umów, o których mowa w: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w art. 734 i art. 750 ustawy z dnia 23 kwietnia 1964 r. – Kodeks cywilny,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Sugeruje się dodanie do listy funkcji Systemu możliwości generowania, wystawiania i podpisywania: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oświadczenia do umowy,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• rachunku do umowy,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tj. zmiany w artykule: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Art. 4. ust. 1. System zapewnia następujące funkcje: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wygenerowanie przez zleceniodawcę i podpisanie przez zleceniobiorcę oświadczenia do umowy;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• wygenerowanie przez zleceniodawcę i podpisanie przez zleceniobiorcę rachunku do umowy; </w:t>
            </w:r>
          </w:p>
          <w:p w:rsidR="00CF27A8" w:rsidRPr="0085058A" w:rsidRDefault="00CF27A8" w:rsidP="00CF27A8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prowadzenia przez zleceniodawcę rejestru rachunków do umowy;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Uwaga: </w:t>
            </w:r>
          </w:p>
          <w:p w:rsidR="00CF27A8" w:rsidRPr="0085058A" w:rsidRDefault="00CF27A8" w:rsidP="00787F99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Zmiana nie jest konieczna, jeżeli mówi o tym zapis Art. 8. ust. 6. Choć z aktualnej treści nie wynika obligatoryjność ww. dokumentów (tj. a) oświadczenia do umowy, b) rachunku do umowy), kiedy w przypadku umów zlecenia są one obowiązkowe. </w:t>
            </w:r>
          </w:p>
        </w:tc>
        <w:tc>
          <w:tcPr>
            <w:tcW w:w="3058" w:type="dxa"/>
          </w:tcPr>
          <w:p w:rsidR="00227AE3" w:rsidRPr="0085058A" w:rsidRDefault="00227AE3" w:rsidP="00CF27A8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85058A">
              <w:rPr>
                <w:rFonts w:ascii="Times New Roman" w:eastAsia="MyriadPro-Regular" w:hAnsi="Times New Roman" w:cs="Times New Roman"/>
              </w:rPr>
              <w:lastRenderedPageBreak/>
              <w:t>Na obecnym etapie projektowane rozwiązanie ma wskazane określone funkcjonalności</w:t>
            </w:r>
            <w:r w:rsidRPr="0085058A">
              <w:rPr>
                <w:rFonts w:ascii="Times New Roman" w:hAnsi="Times New Roman" w:cs="Times New Roman"/>
              </w:rPr>
              <w:t xml:space="preserve">. Po wejściu w </w:t>
            </w:r>
            <w:r w:rsidRPr="0085058A">
              <w:rPr>
                <w:rFonts w:ascii="Times New Roman" w:hAnsi="Times New Roman" w:cs="Times New Roman"/>
              </w:rPr>
              <w:lastRenderedPageBreak/>
              <w:t>życie ustawy możliwe będzie z czasem (w razie pozytywnych sygnałów i zainteresowania innych podmiotów) nowelizacja przepisów ustawy i rozszerzenie jej zakresu przedmiotowego.</w:t>
            </w:r>
          </w:p>
          <w:p w:rsidR="00227AE3" w:rsidRPr="0085058A" w:rsidRDefault="00227AE3" w:rsidP="00CF27A8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:rsidR="00227AE3" w:rsidRPr="0085058A" w:rsidRDefault="00227AE3" w:rsidP="00CF27A8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:rsidR="00C93361" w:rsidRPr="0085058A" w:rsidRDefault="00C93361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6. ust. 4. Zawarcie umowy wymaga wprowadzenia do Systemu danych koniecznych do zawarcia umowy oraz wypełnienia wzoru umowy </w:t>
            </w:r>
            <w:r w:rsidRPr="0085058A">
              <w:rPr>
                <w:sz w:val="22"/>
                <w:szCs w:val="22"/>
              </w:rPr>
              <w:lastRenderedPageBreak/>
              <w:t xml:space="preserve">udostępnionego w Systemie… </w:t>
            </w:r>
          </w:p>
          <w:p w:rsidR="00CF27A8" w:rsidRPr="0085058A" w:rsidRDefault="00CF27A8" w:rsidP="00CF27A8">
            <w:pPr>
              <w:jc w:val="center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oraz ust. 9 </w:t>
            </w: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Fundacja Platforma Przemysłu Przyszłości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Zapis sugeruje, że wzory umów będą narzucone przez System, tj. Art. 6. ust. 10. „Wzory, o których mowa w ust. 4, 7 i 8, podlegają uzgodnieniu z:”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58A">
              <w:rPr>
                <w:rFonts w:ascii="Times New Roman" w:hAnsi="Times New Roman" w:cs="Times New Roman"/>
              </w:rPr>
              <w:t xml:space="preserve">Jeśli będą to wzory określone „na sztywno”, tj. nie będą cechowały się możliwością modyfikacji zawartości umowy (np. treści par. i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ust.), to użyteczność Systemu będzie mocno ograniczona.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Niniejsze ograniczenie jest tym bardziej niezrozumiałe, że treść umowy jest spisaniem ustaleń pomiędzy stronami. System, o którym mowa w ustawie ma tak naprawdę ułatwić podpisywanie umów, za pomocą mechanizmów zawierania ich elektronicznie, a nie narzucać stronom zapisy w treści umowy. Nawet jeśli część z zapisów umowy powinna wynikać np. z Kodeksu Pracy, to ich brak, czy nieodpowiednia forma, nie zwalania stron od odpowiedzialności za przestrzeganie Kodeksu Pracy.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Chyba, że możliwość taką daje zapis w Art. 7. ust. 2? Choć zapis ww. w Art. 7. ust. 2 jest mało precyzyjny w tym zakresie.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Dobrymi praktykami w zakresie projektowania systemów informatycznych, z podsystemami szablonów, jest możliwość modyfikacji szablonów w dość szerokim zakresie. Spowodowane jest to faktem, że nawet w przypadku dokumentów „standardowych” istnieje często konieczność ich zróżnicowania (nie tylko w </w:t>
            </w:r>
            <w:r w:rsidRPr="0085058A">
              <w:rPr>
                <w:sz w:val="22"/>
                <w:szCs w:val="22"/>
              </w:rPr>
              <w:lastRenderedPageBreak/>
              <w:t xml:space="preserve">zależności od ustaleń/regulaminów przedsiębiorcy, ale też często w zależności od zakresu obowiązków czy umowy zlecenia).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Dlatego najczęściej spotykanym rozwiązaniem są systemy, w których inicjalnie są utworzone szablony dokumentów, których treść może być swobodnie modyfikowana. Natomiast jednym z kluczowych mechanizmów, w takich systemach, są mechanizmy operowania danymi, które mogą być wykorzystane w szablonie.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Najczęściej, mechanizm taki opiera się na zestawie pól, które mogą być wykorzystane w praktycznie dowolnym miejscu szablonu, a które kodowane są za pomocą specjalnych znaczników. Znaczniki wykorzystywane są w celu rozpoznania pól w szablonie podczas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generowania podglądu lub dokumentu wynikowego. I tak np. dane pracodawcy mogą przyjmować kody typu: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&lt;&lt;</w:t>
            </w:r>
            <w:proofErr w:type="spellStart"/>
            <w:r w:rsidRPr="0085058A">
              <w:rPr>
                <w:sz w:val="22"/>
                <w:szCs w:val="22"/>
              </w:rPr>
              <w:t>NazwaPracodawcy</w:t>
            </w:r>
            <w:proofErr w:type="spellEnd"/>
            <w:r w:rsidRPr="0085058A">
              <w:rPr>
                <w:sz w:val="22"/>
                <w:szCs w:val="22"/>
              </w:rPr>
              <w:t>&gt;&gt;, &lt;&lt;</w:t>
            </w:r>
            <w:proofErr w:type="spellStart"/>
            <w:r w:rsidRPr="0085058A">
              <w:rPr>
                <w:sz w:val="22"/>
                <w:szCs w:val="22"/>
              </w:rPr>
              <w:t>NIPPracodawcy</w:t>
            </w:r>
            <w:proofErr w:type="spellEnd"/>
            <w:r w:rsidRPr="0085058A">
              <w:rPr>
                <w:sz w:val="22"/>
                <w:szCs w:val="22"/>
              </w:rPr>
              <w:t>&gt;&gt;, &lt;&lt;</w:t>
            </w:r>
            <w:proofErr w:type="spellStart"/>
            <w:r w:rsidRPr="0085058A">
              <w:rPr>
                <w:sz w:val="22"/>
                <w:szCs w:val="22"/>
              </w:rPr>
              <w:t>AdresSiedzibyPracodawcy</w:t>
            </w:r>
            <w:proofErr w:type="spellEnd"/>
            <w:r w:rsidRPr="0085058A">
              <w:rPr>
                <w:sz w:val="22"/>
                <w:szCs w:val="22"/>
              </w:rPr>
              <w:t>&gt;&gt;, &lt;&lt;</w:t>
            </w:r>
            <w:proofErr w:type="spellStart"/>
            <w:r w:rsidRPr="0085058A">
              <w:rPr>
                <w:sz w:val="22"/>
                <w:szCs w:val="22"/>
              </w:rPr>
              <w:t>NazwaZleceniodawcy</w:t>
            </w:r>
            <w:proofErr w:type="spellEnd"/>
            <w:r w:rsidRPr="0085058A">
              <w:rPr>
                <w:sz w:val="22"/>
                <w:szCs w:val="22"/>
              </w:rPr>
              <w:t>&gt;&gt;, &lt;&lt;</w:t>
            </w:r>
            <w:proofErr w:type="spellStart"/>
            <w:r w:rsidRPr="0085058A">
              <w:rPr>
                <w:sz w:val="22"/>
                <w:szCs w:val="22"/>
              </w:rPr>
              <w:t>NIPZleceniodawcy</w:t>
            </w:r>
            <w:proofErr w:type="spellEnd"/>
            <w:r w:rsidRPr="0085058A">
              <w:rPr>
                <w:sz w:val="22"/>
                <w:szCs w:val="22"/>
              </w:rPr>
              <w:t>&gt;&gt;, &lt;&lt;</w:t>
            </w:r>
            <w:proofErr w:type="spellStart"/>
            <w:r w:rsidRPr="0085058A">
              <w:rPr>
                <w:sz w:val="22"/>
                <w:szCs w:val="22"/>
              </w:rPr>
              <w:t>AdresSiedzibyZleceniodawcy</w:t>
            </w:r>
            <w:proofErr w:type="spellEnd"/>
            <w:r w:rsidRPr="0085058A">
              <w:rPr>
                <w:sz w:val="22"/>
                <w:szCs w:val="22"/>
              </w:rPr>
              <w:t xml:space="preserve">&gt;&gt;, 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itp., które w momencie podglądu dokumentu lub generowania dokumentu wynikowego zostaną </w:t>
            </w:r>
            <w:r w:rsidRPr="0085058A">
              <w:rPr>
                <w:rFonts w:ascii="Times New Roman" w:hAnsi="Times New Roman" w:cs="Times New Roman"/>
              </w:rPr>
              <w:lastRenderedPageBreak/>
              <w:t xml:space="preserve">uzupełnione wartościami odpowiednimi dla pracodawcy (zleceniodawcy) lub pracownika (zleceniobiorcy). </w:t>
            </w:r>
          </w:p>
        </w:tc>
        <w:tc>
          <w:tcPr>
            <w:tcW w:w="3058" w:type="dxa"/>
          </w:tcPr>
          <w:p w:rsidR="00C93361" w:rsidRPr="0085058A" w:rsidRDefault="00CE7BB4" w:rsidP="00CE7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Zgodnie z założeniem m</w:t>
            </w:r>
            <w:r w:rsidR="00E61968" w:rsidRPr="0085058A">
              <w:rPr>
                <w:rFonts w:ascii="Times New Roman" w:hAnsi="Times New Roman" w:cs="Times New Roman"/>
              </w:rPr>
              <w:t xml:space="preserve">inister właściwy do spraw pracy udostępni w Systemie wzory, sporządzone zgodnie z przepisami prawa pracy. Zakres danych we wzorach będzie </w:t>
            </w:r>
            <w:r w:rsidR="0009363C" w:rsidRPr="0085058A">
              <w:rPr>
                <w:rFonts w:ascii="Times New Roman" w:hAnsi="Times New Roman" w:cs="Times New Roman"/>
              </w:rPr>
              <w:t>analogiczny</w:t>
            </w:r>
            <w:r w:rsidR="00E61968" w:rsidRPr="0085058A">
              <w:rPr>
                <w:rFonts w:ascii="Times New Roman" w:hAnsi="Times New Roman" w:cs="Times New Roman"/>
              </w:rPr>
              <w:t xml:space="preserve"> do danych wynikających z kodeksy pracy i Kodeksu cywilnego. Wzory będą uaktualniane zgodnie ze </w:t>
            </w:r>
            <w:r w:rsidR="00E61968" w:rsidRPr="0085058A">
              <w:rPr>
                <w:rFonts w:ascii="Times New Roman" w:hAnsi="Times New Roman" w:cs="Times New Roman"/>
              </w:rPr>
              <w:lastRenderedPageBreak/>
              <w:t>zmieniającymi się przepisami.</w:t>
            </w:r>
            <w:r w:rsidR="00227AE3" w:rsidRPr="0085058A">
              <w:rPr>
                <w:rFonts w:ascii="Times New Roman" w:hAnsi="Times New Roman" w:cs="Times New Roman"/>
              </w:rPr>
              <w:t>.</w:t>
            </w:r>
            <w:r w:rsidRPr="0085058A">
              <w:rPr>
                <w:rFonts w:ascii="Times New Roman" w:eastAsia="MyriadPro-Regular" w:hAnsi="Times New Roman" w:cs="Times New Roman"/>
              </w:rPr>
              <w:t xml:space="preserve"> Projektowane rozwiązanie na obecnym etapie ma na celu ułatwienie zawierania prostych umów w typowych sytuacjach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6. ust. 7. Zmiana umowy albo rozwiązanie umowy następuje przy wykorzystaniu wzoru udostępnionego w Systemie; przepisy ust. 4-6 stosuje się…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oraz ust. 9 </w:t>
            </w: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jw.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odpowiednio dla dokumentu zmiany umowy albo rozwiązanie umowy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jw.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odpowiednio dla dokumentu zmiany umowy albo rozwiązanie umowy </w:t>
            </w:r>
          </w:p>
        </w:tc>
        <w:tc>
          <w:tcPr>
            <w:tcW w:w="3058" w:type="dxa"/>
          </w:tcPr>
          <w:p w:rsidR="00CF27A8" w:rsidRDefault="00227AE3" w:rsidP="00CE7BB4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Minister właściwy do spraw pracy udostępni w Systemie wzory, sporządzone zgodnie z przepisami prawa pracy. Zakres danych we wzorach będzie analogiczny do danych wynikających z kodeksy pracy i Kodeksu cywilnego. Wzory będą uaktualniane zgodnie ze zmieniającymi się przepisami. </w:t>
            </w:r>
          </w:p>
          <w:p w:rsidR="00CE7BB4" w:rsidRPr="0085058A" w:rsidRDefault="00CE7BB4" w:rsidP="00CE7B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USTAWA, Art. 6. ust. 8. Wydanie świadectwa pracy następuje przy wykorzystaniu wzoru udostępnionego w Systemie…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oraz ust. 9 </w:t>
            </w: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jw.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odpowiednio dla dokumentu świadectwa pracy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jw.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odpowiednio dla dokumentu świadectwa pracy </w:t>
            </w:r>
          </w:p>
        </w:tc>
        <w:tc>
          <w:tcPr>
            <w:tcW w:w="3058" w:type="dxa"/>
          </w:tcPr>
          <w:p w:rsidR="00CF27A8" w:rsidRPr="0085058A" w:rsidRDefault="0085058A" w:rsidP="00CF27A8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P</w:t>
            </w:r>
            <w:r w:rsidR="00324929" w:rsidRPr="0085058A">
              <w:rPr>
                <w:rFonts w:ascii="Times New Roman" w:hAnsi="Times New Roman" w:cs="Times New Roman"/>
              </w:rPr>
              <w:t>atrz  komentarz do uwagi nr 24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OSR pkt. 1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Brak informacji dotyczącej zastosowania danych odnośnie szarej strefy z roku 2017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Pozyskanie nowszych danych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E7BB4" w:rsidRDefault="00CE7BB4" w:rsidP="00CE7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aktualnych danych w tym zakresie</w:t>
            </w:r>
            <w:r w:rsidR="006232D8">
              <w:rPr>
                <w:rFonts w:ascii="Times New Roman" w:hAnsi="Times New Roman" w:cs="Times New Roman"/>
              </w:rPr>
              <w:t>.</w:t>
            </w:r>
          </w:p>
          <w:p w:rsidR="00CF27A8" w:rsidRPr="0085058A" w:rsidRDefault="00CF27A8" w:rsidP="00850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7737C2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OSR pkt. 1</w:t>
            </w:r>
          </w:p>
        </w:tc>
        <w:tc>
          <w:tcPr>
            <w:tcW w:w="1676" w:type="dxa"/>
            <w:vAlign w:val="center"/>
          </w:tcPr>
          <w:p w:rsidR="00985C35" w:rsidRPr="0085058A" w:rsidRDefault="00985C35" w:rsidP="00985C35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Brak informacji odnośnie analizy, jaką część z osób zatrudnionych w szarej strefie stanowią pracownicy zagraniczni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Pozyskanie danych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E7BB4" w:rsidRDefault="00CE7BB4" w:rsidP="00850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 w tym zakresie</w:t>
            </w:r>
            <w:r w:rsidR="006232D8">
              <w:rPr>
                <w:rFonts w:ascii="Times New Roman" w:hAnsi="Times New Roman" w:cs="Times New Roman"/>
              </w:rPr>
              <w:t>.</w:t>
            </w:r>
          </w:p>
          <w:p w:rsidR="00CF27A8" w:rsidRPr="0085058A" w:rsidRDefault="00CF27A8" w:rsidP="008505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7737C2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OSR pkt. 1</w:t>
            </w:r>
          </w:p>
        </w:tc>
        <w:tc>
          <w:tcPr>
            <w:tcW w:w="1676" w:type="dxa"/>
            <w:vAlign w:val="center"/>
          </w:tcPr>
          <w:p w:rsidR="00CF27A8" w:rsidRPr="0085058A" w:rsidRDefault="00985C35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Brak informacji odnośnie odsetka osób wykluczonych cyfrowo wśr</w:t>
            </w:r>
            <w:r w:rsidR="00985C35" w:rsidRPr="0085058A">
              <w:rPr>
                <w:sz w:val="22"/>
                <w:szCs w:val="22"/>
              </w:rPr>
              <w:t xml:space="preserve">ód wszystkich w szarej strefie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Pozyskanie danych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E7BB4" w:rsidRDefault="00CE7BB4" w:rsidP="00CE7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danych w tym zakresie</w:t>
            </w:r>
            <w:r w:rsidR="006232D8">
              <w:rPr>
                <w:rFonts w:ascii="Times New Roman" w:hAnsi="Times New Roman" w:cs="Times New Roman"/>
              </w:rPr>
              <w:t>.</w:t>
            </w:r>
          </w:p>
          <w:p w:rsidR="00CF27A8" w:rsidRPr="0085058A" w:rsidRDefault="00CF27A8" w:rsidP="00CF27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OSR pkt. 2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Brak informacji odnośnie planowanej formy zabezpieczenia danych oraz zabezpieczenia komunikacji obywatel - system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Informatyzacja systemu zatrudniania może budzić obawy co do bezpieczeństwa danych oraz potencjalnej inwigilacji ze strony służb/osób niepowołanych.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Niezbędne wydaje się przeprowadzanie zaawansowanych audytów bezpieczeństwa oraz wdrożenie systemu ISO 27001 w odniesieniu do platformy informatycznej. </w:t>
            </w:r>
          </w:p>
        </w:tc>
        <w:tc>
          <w:tcPr>
            <w:tcW w:w="3058" w:type="dxa"/>
          </w:tcPr>
          <w:p w:rsidR="00CF27A8" w:rsidRPr="0085058A" w:rsidRDefault="0085058A" w:rsidP="00CE7BB4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>Co do zasady udostępniane aplikacje w sieci Internet zaopatrzone są w certyfikat domeny Ministerstwa, zapewniając szyfrowanie komunikacji pomiędzy przeglądarką a serwerem aplikacyjnym uniemożliwiając praktycznie podgląd przesyłanych danych. Aplikacja dostępna będzie poprzez dedykowane porty komunikacyjne. Zostaną wykorzystane mechanizmy filtracji adresów IP, z których dozwolone będzie połączenie do serwera aplikacyjnego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985C35" w:rsidRPr="0085058A" w:rsidRDefault="00985C35" w:rsidP="00985C35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>Pytaniem zasadniczym jest dostępność platformy cyfrowej praca.gov.pl dla osób z zagranicy oraz realne utrudnienia jakie musi pokonać osoba chcąca legalnie zatrudnić pracownika lub praco</w:t>
            </w:r>
            <w:r w:rsidR="00985C35" w:rsidRPr="0085058A">
              <w:rPr>
                <w:sz w:val="22"/>
                <w:szCs w:val="22"/>
              </w:rPr>
              <w:t xml:space="preserve">wnik chcący pracować legalnie.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Przeprowadzenie analizy ww. punktu.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F27A8" w:rsidRPr="0085058A" w:rsidRDefault="00985C35" w:rsidP="00CE7BB4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eastAsia="MyriadPro-Regular" w:hAnsi="Times New Roman" w:cs="Times New Roman"/>
              </w:rPr>
              <w:t xml:space="preserve">Na obecnym etapie projektowane rozwiązanie ma na celu ułatwienie zawierania prostych umów w typowych sytuacjach. </w:t>
            </w:r>
            <w:r w:rsidRPr="0085058A">
              <w:rPr>
                <w:rFonts w:ascii="Times New Roman" w:hAnsi="Times New Roman" w:cs="Times New Roman"/>
              </w:rPr>
              <w:t>Po wejściu w życie ustawy możliwe będzie z czasem (w razie pozytywnych sygnałów i zainteresowania innych podmiotów) nowelizacja przepisów ustawy i rozszerzenie jej zakresu podmiotowego i przedmiotowego.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985C35" w:rsidRPr="0085058A" w:rsidRDefault="00985C35" w:rsidP="00985C35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Brak informacji czy autorzy projektu legislacyjnego uwzględniają możliwość </w:t>
            </w:r>
            <w:r w:rsidRPr="0085058A">
              <w:rPr>
                <w:b/>
                <w:sz w:val="22"/>
                <w:szCs w:val="22"/>
              </w:rPr>
              <w:t>hybrydowej formy zawierania umowy - pracodawca uzupełniający dokumenty i dane na platformie elektronicznej wypełniając jednocześnie dane pracownika, który ze względu na wykluczenie cyfrowe nie posiada możliwości potwierdzenia swojej tożsamości podpisem cyfrowym</w:t>
            </w:r>
            <w:r w:rsidRPr="0085058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Przeprowadzenie analizy ww. punktu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F27A8" w:rsidRPr="0085058A" w:rsidRDefault="0009363C" w:rsidP="0009363C">
            <w:pPr>
              <w:jc w:val="both"/>
              <w:rPr>
                <w:rFonts w:ascii="Times New Roman" w:hAnsi="Times New Roman" w:cs="Times New Roman"/>
              </w:rPr>
            </w:pPr>
            <w:r w:rsidRPr="0085058A">
              <w:rPr>
                <w:rFonts w:ascii="Times New Roman" w:hAnsi="Times New Roman" w:cs="Times New Roman"/>
              </w:rPr>
              <w:t xml:space="preserve">Projekt nie przewiduje możliwości hybrydowej formy zawierania umowy. Do prawnie skutecznego zawarcia umowy konieczne będzie jej podpisanie w sposób elektronicznych umowy przez obie strony . 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985C35" w:rsidRPr="0085058A" w:rsidRDefault="00985C35" w:rsidP="00985C35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3"/>
            </w:tblGrid>
            <w:tr w:rsidR="00CF27A8" w:rsidRPr="0085058A">
              <w:trPr>
                <w:trHeight w:val="391"/>
              </w:trPr>
              <w:tc>
                <w:tcPr>
                  <w:tcW w:w="0" w:type="auto"/>
                </w:tcPr>
                <w:p w:rsidR="00CF27A8" w:rsidRPr="0085058A" w:rsidRDefault="00CF27A8" w:rsidP="00CF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5058A">
                    <w:rPr>
                      <w:rFonts w:ascii="Times New Roman" w:hAnsi="Times New Roman" w:cs="Times New Roman"/>
                      <w:color w:val="000000"/>
                    </w:rPr>
                    <w:t xml:space="preserve">W projekcie ustawy brak jest analizy przyczyn działalności szarej strefy oraz potencjalnego </w:t>
                  </w:r>
                </w:p>
              </w:tc>
            </w:tr>
            <w:tr w:rsidR="00CF27A8" w:rsidRPr="0085058A">
              <w:trPr>
                <w:trHeight w:val="391"/>
              </w:trPr>
              <w:tc>
                <w:tcPr>
                  <w:tcW w:w="0" w:type="auto"/>
                </w:tcPr>
                <w:p w:rsidR="00CF27A8" w:rsidRPr="0085058A" w:rsidRDefault="00CF27A8" w:rsidP="00CF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058A">
              <w:rPr>
                <w:rFonts w:ascii="Times New Roman" w:hAnsi="Times New Roman" w:cs="Times New Roman"/>
                <w:color w:val="000000"/>
              </w:rPr>
              <w:t xml:space="preserve">Przeprowadzenie analizy ww. punktu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CF27A8" w:rsidRPr="0085058A" w:rsidRDefault="00CE7BB4" w:rsidP="00850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analizy przyczyn działalności szarej sfery nie wydaje się konieczne. Celem projektowanej ustawy na być ułatwienie zawierania przez pracodawców i zleceniodawców </w:t>
            </w:r>
            <w:r w:rsidR="00A5120F">
              <w:rPr>
                <w:rFonts w:ascii="Times New Roman" w:hAnsi="Times New Roman" w:cs="Times New Roman"/>
              </w:rPr>
              <w:t xml:space="preserve">prostych typowych </w:t>
            </w:r>
            <w:r>
              <w:rPr>
                <w:rFonts w:ascii="Times New Roman" w:hAnsi="Times New Roman" w:cs="Times New Roman"/>
              </w:rPr>
              <w:t xml:space="preserve">umów o pracę i umów zlecenia  </w:t>
            </w:r>
            <w:r w:rsidR="00A5120F">
              <w:rPr>
                <w:rFonts w:ascii="Times New Roman" w:hAnsi="Times New Roman" w:cs="Times New Roman"/>
              </w:rPr>
              <w:t xml:space="preserve">oraz zmniejszenie obciążeń </w:t>
            </w:r>
            <w:r w:rsidR="0085058A" w:rsidRPr="0085058A">
              <w:rPr>
                <w:rFonts w:ascii="Times New Roman" w:hAnsi="Times New Roman" w:cs="Times New Roman"/>
              </w:rPr>
              <w:t xml:space="preserve"> jakie ponoszone są przez</w:t>
            </w:r>
            <w:r w:rsidR="00A5120F">
              <w:rPr>
                <w:rFonts w:ascii="Times New Roman" w:hAnsi="Times New Roman" w:cs="Times New Roman"/>
              </w:rPr>
              <w:t xml:space="preserve"> te </w:t>
            </w:r>
            <w:r w:rsidR="0085058A" w:rsidRPr="0085058A">
              <w:rPr>
                <w:rFonts w:ascii="Times New Roman" w:hAnsi="Times New Roman" w:cs="Times New Roman"/>
              </w:rPr>
              <w:t xml:space="preserve"> podmiot</w:t>
            </w:r>
            <w:r w:rsidR="00A5120F">
              <w:rPr>
                <w:rFonts w:ascii="Times New Roman" w:hAnsi="Times New Roman" w:cs="Times New Roman"/>
              </w:rPr>
              <w:t>y</w:t>
            </w:r>
            <w:r w:rsidR="0085058A" w:rsidRPr="0085058A">
              <w:rPr>
                <w:rFonts w:ascii="Times New Roman" w:hAnsi="Times New Roman" w:cs="Times New Roman"/>
              </w:rPr>
              <w:t xml:space="preserve"> w związku ze zgłoszeniem </w:t>
            </w:r>
            <w:r w:rsidR="00A5120F">
              <w:rPr>
                <w:rFonts w:ascii="Times New Roman" w:hAnsi="Times New Roman" w:cs="Times New Roman"/>
              </w:rPr>
              <w:t xml:space="preserve">pracowników lub zleceniobiorców </w:t>
            </w:r>
            <w:r w:rsidR="0085058A" w:rsidRPr="0085058A">
              <w:rPr>
                <w:rFonts w:ascii="Times New Roman" w:hAnsi="Times New Roman" w:cs="Times New Roman"/>
              </w:rPr>
              <w:t xml:space="preserve">do Zakładu Ubezpieczeń Społecznych, i naliczaniem składek na ubezpieczenie, oraz naliczaniem podatku dochodowego </w:t>
            </w:r>
          </w:p>
        </w:tc>
      </w:tr>
      <w:tr w:rsidR="00CF27A8" w:rsidRPr="0085058A" w:rsidTr="00CA65BD">
        <w:trPr>
          <w:jc w:val="center"/>
        </w:trPr>
        <w:tc>
          <w:tcPr>
            <w:tcW w:w="534" w:type="dxa"/>
          </w:tcPr>
          <w:p w:rsidR="00CF27A8" w:rsidRPr="0085058A" w:rsidRDefault="00CF27A8" w:rsidP="00CF27A8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OSR pkt. 6 </w:t>
            </w:r>
          </w:p>
          <w:p w:rsidR="00CF27A8" w:rsidRPr="0085058A" w:rsidRDefault="00CF27A8" w:rsidP="00CF27A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t xml:space="preserve">Fundacja Platforma Przemysłu Przyszłości </w:t>
            </w:r>
          </w:p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</w:tcPr>
          <w:p w:rsidR="00CF27A8" w:rsidRPr="0085058A" w:rsidRDefault="00CF27A8" w:rsidP="0085058A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Brak analizy finansowej opłacalności projektu - czy szacunki dot. zmniejszenia szarej strefy przyczynią się do wzrostu </w:t>
            </w:r>
            <w:r w:rsidRPr="0085058A">
              <w:rPr>
                <w:sz w:val="22"/>
                <w:szCs w:val="22"/>
              </w:rPr>
              <w:lastRenderedPageBreak/>
              <w:t>wpływów do budżetu które, porównując koszt realizacji projektu oraz jego długofalowego utrzymania na serwerach/administracji (TCO) do tych wpływów da</w:t>
            </w:r>
            <w:r w:rsidR="00985C35" w:rsidRPr="0085058A">
              <w:rPr>
                <w:sz w:val="22"/>
                <w:szCs w:val="22"/>
              </w:rPr>
              <w:t xml:space="preserve">dzą ROI krótsze niż 10-15 lat? </w:t>
            </w:r>
          </w:p>
        </w:tc>
        <w:tc>
          <w:tcPr>
            <w:tcW w:w="3518" w:type="dxa"/>
            <w:vAlign w:val="center"/>
          </w:tcPr>
          <w:p w:rsidR="00CF27A8" w:rsidRPr="0085058A" w:rsidRDefault="00CF27A8" w:rsidP="00CF27A8">
            <w:pPr>
              <w:pStyle w:val="Default"/>
              <w:jc w:val="both"/>
              <w:rPr>
                <w:sz w:val="22"/>
                <w:szCs w:val="22"/>
              </w:rPr>
            </w:pPr>
            <w:r w:rsidRPr="0085058A">
              <w:rPr>
                <w:sz w:val="22"/>
                <w:szCs w:val="22"/>
              </w:rPr>
              <w:lastRenderedPageBreak/>
              <w:t xml:space="preserve">Przeprowadzenie analizy ww. punktu </w:t>
            </w:r>
          </w:p>
          <w:p w:rsidR="00CF27A8" w:rsidRPr="0085058A" w:rsidRDefault="00CF27A8" w:rsidP="00CF2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8" w:type="dxa"/>
          </w:tcPr>
          <w:p w:rsidR="00CF27A8" w:rsidRPr="0085058A" w:rsidRDefault="00A5120F" w:rsidP="00A51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projektu ma być wprowadzenie ułatwień dla pracodawców i zleceniobiorców. </w:t>
            </w:r>
            <w:r w:rsidR="0085058A" w:rsidRPr="0085058A">
              <w:rPr>
                <w:rFonts w:ascii="Times New Roman" w:hAnsi="Times New Roman" w:cs="Times New Roman"/>
              </w:rPr>
              <w:t xml:space="preserve">Ze względu </w:t>
            </w:r>
            <w:r w:rsidR="0085058A" w:rsidRPr="0085058A">
              <w:rPr>
                <w:rFonts w:ascii="Times New Roman" w:hAnsi="Times New Roman" w:cs="Times New Roman"/>
              </w:rPr>
              <w:lastRenderedPageBreak/>
              <w:t>na nieobligatoryjny charakter rozwiązania, nie jest możliwe oszacowanie dodatkowych wpływów do budżetu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058A" w:rsidRPr="0085058A">
              <w:rPr>
                <w:rFonts w:ascii="Times New Roman" w:hAnsi="Times New Roman" w:cs="Times New Roman"/>
              </w:rPr>
              <w:t xml:space="preserve">państwa. </w:t>
            </w:r>
          </w:p>
        </w:tc>
      </w:tr>
    </w:tbl>
    <w:p w:rsidR="00674BCF" w:rsidRPr="006C07DD" w:rsidRDefault="00F9709D" w:rsidP="00F970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lastRenderedPageBreak/>
        <w:t>Art. 35 ust. 1 rozporządzenia 2016/679 - Jeżeli dany rodzaj przetwarzania - w szczególności z użyciem nowych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technologii - ze względu na swój charakter, zakres, kontekst i cele z dużym prawdopodobieństwem może powodować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wysokie ryzyko naruszenia praw lub wolności osób fizycznych, administrator przed rozpoczęciem przetwarzania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dokonuje oceny skutków planowanych operacji przetwarzania dla ochrony danych osobowych.</w:t>
      </w:r>
    </w:p>
    <w:p w:rsidR="00F9709D" w:rsidRPr="006C07DD" w:rsidRDefault="00F9709D" w:rsidP="00F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2 Ust. 1–7 nie mają zastosowania, jeżeli przetwarzanie na mocy art. 6 ust. 1 lit. c) lub e) ma podstawę prawną w prawie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Unii lub w prawie państwa członkowskiego, któremu podlega administrator, i prawo takie reguluje daną operację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przetwarzania lub zestaw operacji, a oceny skutków dla ochrony danych dokonano już w ramach oceny skutków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regulacji w związku z przyjęciem tej podstawy prawnej – chyba że państwa członkowskie uznają za niezbędne, by przed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podjęciem czynności przetwarzania dokonać oceny skutków dla ochrony danych.</w:t>
      </w:r>
    </w:p>
    <w:p w:rsidR="00F9709D" w:rsidRPr="006C07DD" w:rsidRDefault="00F9709D" w:rsidP="00F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3 Zgodnie z zasadą zgodności z prawem, rzetelności i przejrzystości dane osobowe muszą być przetwarzane zgodnie z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prawem, rzetelnie i w sposób przejrzysty dla osoby, której dane dotyczą.</w:t>
      </w:r>
    </w:p>
    <w:p w:rsidR="00F9709D" w:rsidRPr="006C07DD" w:rsidRDefault="00F9709D" w:rsidP="00227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4 Zgodnie z zasadą integralności i poufności dane osobowe muszą być przetwarzane w sposób zapewniający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odpowiednie bezpieczeństwo danych osobowych, w tym ochronę przed niedozwolonym lub niezgodnym z prawem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przetwarzaniem oraz przypadkową utratą, zniszczeniem lub uszkodzeniem, za pomocą odpowiednich środków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technicznych lub organizacyjnych.</w:t>
      </w:r>
    </w:p>
    <w:p w:rsidR="00F9709D" w:rsidRPr="006C07DD" w:rsidRDefault="00F9709D" w:rsidP="00F9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5 Zgodnie z art. 4 pkt 7 rozporządzenia 2016/679 administrator” oznacza osobę fizyczną lub prawną, organ publiczny,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jednostkę lub inny podmiot, który samodzielnie lub wspólnie z innymi ustala cele i sposoby przetwarzania danych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osobowych; jeżeli cele i sposoby takiego przetwarzania są określone w prawie Unii lub w prawie państwa</w:t>
      </w:r>
    </w:p>
    <w:p w:rsidR="00F9709D" w:rsidRPr="006C07DD" w:rsidRDefault="00F9709D" w:rsidP="00F9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członkowskiego, to również w prawie Unii lub w prawie państwa członkowskiego może zostać wyznaczony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administrator lub mogą zostać określone konkretne kryteria jego wyznaczania;</w:t>
      </w:r>
    </w:p>
    <w:p w:rsidR="00F9709D" w:rsidRPr="006C07DD" w:rsidRDefault="00F9709D" w:rsidP="0085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6 Zgodnie z art. 6 ust. 1 lit. c rozporządzenia 2016/679 Przetwarzanie jest zgodne z prawem wyłącznie w przypadkach,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gdy – i w takim zakresie, w jakim – spełniony jest co najmniej jeden z poniższych warunków: (…) przetwarzanie jest</w:t>
      </w:r>
      <w:r w:rsidR="0085058A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niezbędne do wypełnienia obowiązku prawnego ciążącego na administratorze.</w:t>
      </w:r>
    </w:p>
    <w:p w:rsidR="00146F21" w:rsidRPr="006C07DD" w:rsidRDefault="00146F21" w:rsidP="0014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7 Zgodnie z zasadą ograniczenia celu dane osobowe muszą być zbierane w konkretnych, wyraźnych i prawnie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uzasadnionych celach i nieprzetwarzane dalej w sposób niezgodny z tymi celami; dalsze przetwarzanie do celów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archiwalnych w interesie publicznym, do celów badań naukowych lub historycznych lub do celów statystycznych nie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jest uznawane w myśl art. 89 ust. 1 za niezgodne z pierwotnymi celami.</w:t>
      </w:r>
    </w:p>
    <w:p w:rsidR="00146F21" w:rsidRPr="006C07DD" w:rsidRDefault="00146F21" w:rsidP="0022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7DD">
        <w:rPr>
          <w:rFonts w:ascii="Times New Roman" w:hAnsi="Times New Roman" w:cs="Times New Roman"/>
          <w:sz w:val="20"/>
          <w:szCs w:val="20"/>
        </w:rPr>
        <w:t>8 Zgodnie z zasadą minimalizacji danych dane osobowe muszą być adekwatne, stosowne oraz ograniczone do tego, co</w:t>
      </w:r>
      <w:r w:rsidR="00227AE3" w:rsidRPr="006C07DD">
        <w:rPr>
          <w:rFonts w:ascii="Times New Roman" w:hAnsi="Times New Roman" w:cs="Times New Roman"/>
          <w:sz w:val="20"/>
          <w:szCs w:val="20"/>
        </w:rPr>
        <w:t xml:space="preserve"> </w:t>
      </w:r>
      <w:r w:rsidRPr="006C07DD">
        <w:rPr>
          <w:rFonts w:ascii="Times New Roman" w:hAnsi="Times New Roman" w:cs="Times New Roman"/>
          <w:sz w:val="20"/>
          <w:szCs w:val="20"/>
        </w:rPr>
        <w:t>niezbędne do celów, w których są przetwarzane.</w:t>
      </w:r>
    </w:p>
    <w:p w:rsidR="009A3389" w:rsidRPr="0085058A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85058A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72" w:rsidRDefault="00596A72" w:rsidP="00735AA5">
      <w:pPr>
        <w:spacing w:after="0" w:line="240" w:lineRule="auto"/>
      </w:pPr>
      <w:r>
        <w:separator/>
      </w:r>
    </w:p>
  </w:endnote>
  <w:endnote w:type="continuationSeparator" w:id="0">
    <w:p w:rsidR="00596A72" w:rsidRDefault="00596A7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451909213"/>
      <w:docPartObj>
        <w:docPartGallery w:val="Page Numbers (Bottom of Page)"/>
        <w:docPartUnique/>
      </w:docPartObj>
    </w:sdtPr>
    <w:sdtEndPr/>
    <w:sdtContent>
      <w:p w:rsidR="00415066" w:rsidRPr="00415066" w:rsidRDefault="004150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15066">
          <w:rPr>
            <w:rFonts w:ascii="Times New Roman" w:hAnsi="Times New Roman" w:cs="Times New Roman"/>
            <w:sz w:val="16"/>
            <w:szCs w:val="16"/>
          </w:rPr>
          <w:t xml:space="preserve">Strona | </w:t>
        </w:r>
        <w:r w:rsidRPr="004150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50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50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154FD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41506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415066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415066" w:rsidRDefault="00415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72" w:rsidRDefault="00596A72" w:rsidP="00735AA5">
      <w:pPr>
        <w:spacing w:after="0" w:line="240" w:lineRule="auto"/>
      </w:pPr>
      <w:r>
        <w:separator/>
      </w:r>
    </w:p>
  </w:footnote>
  <w:footnote w:type="continuationSeparator" w:id="0">
    <w:p w:rsidR="00596A72" w:rsidRDefault="00596A72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5712A"/>
    <w:multiLevelType w:val="hybridMultilevel"/>
    <w:tmpl w:val="73470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3053E0"/>
    <w:multiLevelType w:val="hybridMultilevel"/>
    <w:tmpl w:val="7A7427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DAACC6"/>
    <w:multiLevelType w:val="hybridMultilevel"/>
    <w:tmpl w:val="E35440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F3AB0D"/>
    <w:multiLevelType w:val="hybridMultilevel"/>
    <w:tmpl w:val="90DF5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5B3EC2"/>
    <w:multiLevelType w:val="hybridMultilevel"/>
    <w:tmpl w:val="8F16A9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328136C8"/>
    <w:multiLevelType w:val="hybridMultilevel"/>
    <w:tmpl w:val="B9056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E18BA1A"/>
    <w:multiLevelType w:val="hybridMultilevel"/>
    <w:tmpl w:val="DB500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C093A0"/>
    <w:multiLevelType w:val="hybridMultilevel"/>
    <w:tmpl w:val="1BF63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2055F0"/>
    <w:multiLevelType w:val="hybridMultilevel"/>
    <w:tmpl w:val="FD36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7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F804F75"/>
    <w:multiLevelType w:val="hybridMultilevel"/>
    <w:tmpl w:val="79211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18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7"/>
    <w:rsid w:val="00011212"/>
    <w:rsid w:val="00011D70"/>
    <w:rsid w:val="000153D6"/>
    <w:rsid w:val="0002555B"/>
    <w:rsid w:val="00026CFB"/>
    <w:rsid w:val="00032D0D"/>
    <w:rsid w:val="000720D2"/>
    <w:rsid w:val="00084817"/>
    <w:rsid w:val="00085E2E"/>
    <w:rsid w:val="00091F2A"/>
    <w:rsid w:val="0009363C"/>
    <w:rsid w:val="000A0F2B"/>
    <w:rsid w:val="000A657F"/>
    <w:rsid w:val="000B1157"/>
    <w:rsid w:val="000B346A"/>
    <w:rsid w:val="000B4A55"/>
    <w:rsid w:val="000B505C"/>
    <w:rsid w:val="000E4DFD"/>
    <w:rsid w:val="000F21A5"/>
    <w:rsid w:val="000F5340"/>
    <w:rsid w:val="00127080"/>
    <w:rsid w:val="00127260"/>
    <w:rsid w:val="001368AF"/>
    <w:rsid w:val="00141978"/>
    <w:rsid w:val="00146F21"/>
    <w:rsid w:val="00163DBA"/>
    <w:rsid w:val="00177EC3"/>
    <w:rsid w:val="00196564"/>
    <w:rsid w:val="001D3ACA"/>
    <w:rsid w:val="001E01AE"/>
    <w:rsid w:val="001E3532"/>
    <w:rsid w:val="001F0431"/>
    <w:rsid w:val="001F3A0F"/>
    <w:rsid w:val="00204326"/>
    <w:rsid w:val="002233D9"/>
    <w:rsid w:val="00227AE3"/>
    <w:rsid w:val="00232DD0"/>
    <w:rsid w:val="00237FE1"/>
    <w:rsid w:val="00242233"/>
    <w:rsid w:val="002662EA"/>
    <w:rsid w:val="00272A9A"/>
    <w:rsid w:val="002B20DE"/>
    <w:rsid w:val="002B7F3F"/>
    <w:rsid w:val="002E0918"/>
    <w:rsid w:val="002E1010"/>
    <w:rsid w:val="002E6234"/>
    <w:rsid w:val="00315E4C"/>
    <w:rsid w:val="00322182"/>
    <w:rsid w:val="00324929"/>
    <w:rsid w:val="003346CB"/>
    <w:rsid w:val="00351496"/>
    <w:rsid w:val="003706A6"/>
    <w:rsid w:val="003A430E"/>
    <w:rsid w:val="003D7D21"/>
    <w:rsid w:val="003E7DDC"/>
    <w:rsid w:val="003F2ED2"/>
    <w:rsid w:val="0040281C"/>
    <w:rsid w:val="00414EA2"/>
    <w:rsid w:val="00415066"/>
    <w:rsid w:val="00433E78"/>
    <w:rsid w:val="00443077"/>
    <w:rsid w:val="00452E52"/>
    <w:rsid w:val="0045557F"/>
    <w:rsid w:val="00470B70"/>
    <w:rsid w:val="00474560"/>
    <w:rsid w:val="004977F7"/>
    <w:rsid w:val="004A20BC"/>
    <w:rsid w:val="004A28E0"/>
    <w:rsid w:val="004E0816"/>
    <w:rsid w:val="004F7FD7"/>
    <w:rsid w:val="0053095A"/>
    <w:rsid w:val="00537F4C"/>
    <w:rsid w:val="00545CD3"/>
    <w:rsid w:val="00585076"/>
    <w:rsid w:val="00596A72"/>
    <w:rsid w:val="005A1E5C"/>
    <w:rsid w:val="005B3B7C"/>
    <w:rsid w:val="005D442D"/>
    <w:rsid w:val="005D79B4"/>
    <w:rsid w:val="005E0F98"/>
    <w:rsid w:val="005E7B3D"/>
    <w:rsid w:val="006205B0"/>
    <w:rsid w:val="006232D8"/>
    <w:rsid w:val="006328E3"/>
    <w:rsid w:val="00663C04"/>
    <w:rsid w:val="006669AD"/>
    <w:rsid w:val="00671B39"/>
    <w:rsid w:val="00674BCF"/>
    <w:rsid w:val="006A21F8"/>
    <w:rsid w:val="006A3C51"/>
    <w:rsid w:val="006B6F20"/>
    <w:rsid w:val="006C07DD"/>
    <w:rsid w:val="006C288D"/>
    <w:rsid w:val="006C2BC9"/>
    <w:rsid w:val="006C42B2"/>
    <w:rsid w:val="006D2CCF"/>
    <w:rsid w:val="006D6979"/>
    <w:rsid w:val="006E5428"/>
    <w:rsid w:val="006F0D7B"/>
    <w:rsid w:val="006F1155"/>
    <w:rsid w:val="006F6137"/>
    <w:rsid w:val="007018E8"/>
    <w:rsid w:val="00730C35"/>
    <w:rsid w:val="00735AA5"/>
    <w:rsid w:val="00751B0F"/>
    <w:rsid w:val="0076077D"/>
    <w:rsid w:val="007737C2"/>
    <w:rsid w:val="00787F99"/>
    <w:rsid w:val="007C3FF5"/>
    <w:rsid w:val="007E258F"/>
    <w:rsid w:val="007F39C0"/>
    <w:rsid w:val="00800E89"/>
    <w:rsid w:val="00806F20"/>
    <w:rsid w:val="00812DD8"/>
    <w:rsid w:val="00815D03"/>
    <w:rsid w:val="008203CF"/>
    <w:rsid w:val="00830132"/>
    <w:rsid w:val="0085058A"/>
    <w:rsid w:val="0086454F"/>
    <w:rsid w:val="00866552"/>
    <w:rsid w:val="00867D34"/>
    <w:rsid w:val="008823F2"/>
    <w:rsid w:val="008903E4"/>
    <w:rsid w:val="00890449"/>
    <w:rsid w:val="008B7AC7"/>
    <w:rsid w:val="008B7AE4"/>
    <w:rsid w:val="00917097"/>
    <w:rsid w:val="00927959"/>
    <w:rsid w:val="00946D52"/>
    <w:rsid w:val="009532CB"/>
    <w:rsid w:val="0096339A"/>
    <w:rsid w:val="009672B1"/>
    <w:rsid w:val="00983A14"/>
    <w:rsid w:val="00985C35"/>
    <w:rsid w:val="009923E7"/>
    <w:rsid w:val="009944FE"/>
    <w:rsid w:val="009A3389"/>
    <w:rsid w:val="009A60DA"/>
    <w:rsid w:val="009C0D22"/>
    <w:rsid w:val="009D4953"/>
    <w:rsid w:val="009E6D1A"/>
    <w:rsid w:val="00A11E28"/>
    <w:rsid w:val="00A1326C"/>
    <w:rsid w:val="00A32268"/>
    <w:rsid w:val="00A407A4"/>
    <w:rsid w:val="00A5120F"/>
    <w:rsid w:val="00A64143"/>
    <w:rsid w:val="00A65542"/>
    <w:rsid w:val="00A730CB"/>
    <w:rsid w:val="00A75ADA"/>
    <w:rsid w:val="00A90F7E"/>
    <w:rsid w:val="00A92454"/>
    <w:rsid w:val="00AE1C52"/>
    <w:rsid w:val="00AE66AB"/>
    <w:rsid w:val="00AF2DCB"/>
    <w:rsid w:val="00AF5CDF"/>
    <w:rsid w:val="00B0068C"/>
    <w:rsid w:val="00B030D1"/>
    <w:rsid w:val="00B15F59"/>
    <w:rsid w:val="00B262AB"/>
    <w:rsid w:val="00B3129C"/>
    <w:rsid w:val="00B402B1"/>
    <w:rsid w:val="00B428C5"/>
    <w:rsid w:val="00B475E9"/>
    <w:rsid w:val="00B53034"/>
    <w:rsid w:val="00B54B56"/>
    <w:rsid w:val="00B7259F"/>
    <w:rsid w:val="00B94B0A"/>
    <w:rsid w:val="00BD1AB7"/>
    <w:rsid w:val="00C06F5A"/>
    <w:rsid w:val="00C22A1F"/>
    <w:rsid w:val="00C633E7"/>
    <w:rsid w:val="00C63F1E"/>
    <w:rsid w:val="00C82388"/>
    <w:rsid w:val="00C93361"/>
    <w:rsid w:val="00CA65BD"/>
    <w:rsid w:val="00CA6C91"/>
    <w:rsid w:val="00CB5636"/>
    <w:rsid w:val="00CC26EE"/>
    <w:rsid w:val="00CE2BD1"/>
    <w:rsid w:val="00CE7BB4"/>
    <w:rsid w:val="00CF27A8"/>
    <w:rsid w:val="00CF60EA"/>
    <w:rsid w:val="00D05967"/>
    <w:rsid w:val="00D178B7"/>
    <w:rsid w:val="00D23483"/>
    <w:rsid w:val="00D23935"/>
    <w:rsid w:val="00D34082"/>
    <w:rsid w:val="00D9251C"/>
    <w:rsid w:val="00D97D46"/>
    <w:rsid w:val="00DB13AC"/>
    <w:rsid w:val="00DB68A4"/>
    <w:rsid w:val="00E154FD"/>
    <w:rsid w:val="00E2744F"/>
    <w:rsid w:val="00E34413"/>
    <w:rsid w:val="00E41AEC"/>
    <w:rsid w:val="00E61968"/>
    <w:rsid w:val="00E67BF3"/>
    <w:rsid w:val="00E73BD8"/>
    <w:rsid w:val="00E7699F"/>
    <w:rsid w:val="00E82EDC"/>
    <w:rsid w:val="00E92DC4"/>
    <w:rsid w:val="00E9331E"/>
    <w:rsid w:val="00EA3557"/>
    <w:rsid w:val="00EB069A"/>
    <w:rsid w:val="00EB5B1E"/>
    <w:rsid w:val="00EC7543"/>
    <w:rsid w:val="00F0223F"/>
    <w:rsid w:val="00F11CBF"/>
    <w:rsid w:val="00F13291"/>
    <w:rsid w:val="00F15B0E"/>
    <w:rsid w:val="00F53B30"/>
    <w:rsid w:val="00F57C4A"/>
    <w:rsid w:val="00F80086"/>
    <w:rsid w:val="00F9709D"/>
    <w:rsid w:val="00FA47E1"/>
    <w:rsid w:val="00FA7D7B"/>
    <w:rsid w:val="00FD481C"/>
    <w:rsid w:val="00FD4D64"/>
    <w:rsid w:val="00FD6448"/>
    <w:rsid w:val="00FD7CD5"/>
    <w:rsid w:val="00FE57E6"/>
    <w:rsid w:val="00FF4480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9A8B-E2E7-480B-B662-B26BC94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90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3E4"/>
    <w:rPr>
      <w:color w:val="605E5C"/>
      <w:shd w:val="clear" w:color="auto" w:fill="E1DFDD"/>
    </w:rPr>
  </w:style>
  <w:style w:type="paragraph" w:customStyle="1" w:styleId="Default">
    <w:name w:val="Default"/>
    <w:rsid w:val="00E73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AE4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AE4"/>
    <w:rPr>
      <w:rFonts w:ascii="Times" w:eastAsia="Times New Roman" w:hAnsi="Times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B7AC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8B7AC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A607-A236-4A88-8A5A-B0CF2A0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6333</Words>
  <Characters>38003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Iwona Szulc</cp:lastModifiedBy>
  <cp:revision>4</cp:revision>
  <cp:lastPrinted>2022-04-05T08:46:00Z</cp:lastPrinted>
  <dcterms:created xsi:type="dcterms:W3CDTF">2022-04-06T09:57:00Z</dcterms:created>
  <dcterms:modified xsi:type="dcterms:W3CDTF">2022-04-25T00:53:00Z</dcterms:modified>
</cp:coreProperties>
</file>