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20199011"/>
        <w:docPartObj>
          <w:docPartGallery w:val="Cover Pages"/>
          <w:docPartUnique/>
        </w:docPartObj>
      </w:sdtPr>
      <w:sdtEndPr/>
      <w:sdtContent>
        <w:p w14:paraId="28FE968B" w14:textId="22CD24F5" w:rsidR="00AC5749" w:rsidRPr="005B3097" w:rsidRDefault="009A7B0E" w:rsidP="002A04BE">
          <w:pPr>
            <w:rPr>
              <w:b/>
              <w:bCs/>
            </w:rPr>
          </w:pPr>
          <w:r>
            <w:rPr>
              <w:noProof/>
              <w:lang w:eastAsia="pl-PL"/>
            </w:rPr>
            <w:drawing>
              <wp:anchor distT="0" distB="0" distL="114300" distR="114300" simplePos="0" relativeHeight="251662336" behindDoc="1" locked="0" layoutInCell="1" allowOverlap="1" wp14:anchorId="2AED9D2A" wp14:editId="74DE37D4">
                <wp:simplePos x="0" y="0"/>
                <wp:positionH relativeFrom="page">
                  <wp:align>left</wp:align>
                </wp:positionH>
                <wp:positionV relativeFrom="paragraph">
                  <wp:posOffset>-899795</wp:posOffset>
                </wp:positionV>
                <wp:extent cx="7574280" cy="6282690"/>
                <wp:effectExtent l="0" t="0" r="7620" b="3810"/>
                <wp:wrapNone/>
                <wp:docPr id="2" name="Obraz 2" descr="Obraz zawierający trawa, zielony, gór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rawa, zielony, góry&#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280" cy="6282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8567E" w14:textId="090347AD" w:rsidR="009A7B0E" w:rsidRDefault="009A7B0E" w:rsidP="002A04BE"/>
        <w:p w14:paraId="636EF2D7" w14:textId="32B756A4" w:rsidR="009A7B0E" w:rsidRDefault="009A7B0E" w:rsidP="002A04BE"/>
        <w:p w14:paraId="37433D67" w14:textId="1FFC4C7A" w:rsidR="009A7B0E" w:rsidRDefault="00530A8A" w:rsidP="002A04BE">
          <w:r>
            <w:rPr>
              <w:b/>
              <w:bCs/>
              <w:noProof/>
              <w:lang w:eastAsia="pl-PL"/>
            </w:rPr>
            <mc:AlternateContent>
              <mc:Choice Requires="wps">
                <w:drawing>
                  <wp:anchor distT="0" distB="0" distL="114300" distR="114300" simplePos="0" relativeHeight="251665408" behindDoc="0" locked="0" layoutInCell="1" allowOverlap="1" wp14:anchorId="68DC817F" wp14:editId="017E8C7D">
                    <wp:simplePos x="0" y="0"/>
                    <wp:positionH relativeFrom="page">
                      <wp:posOffset>3790950</wp:posOffset>
                    </wp:positionH>
                    <wp:positionV relativeFrom="paragraph">
                      <wp:posOffset>5715</wp:posOffset>
                    </wp:positionV>
                    <wp:extent cx="3771900" cy="2381250"/>
                    <wp:effectExtent l="0" t="0" r="0" b="0"/>
                    <wp:wrapNone/>
                    <wp:docPr id="7" name="Prostokąt: zaokrąglone rogi 7"/>
                    <wp:cNvGraphicFramePr/>
                    <a:graphic xmlns:a="http://schemas.openxmlformats.org/drawingml/2006/main">
                      <a:graphicData uri="http://schemas.microsoft.com/office/word/2010/wordprocessingShape">
                        <wps:wsp>
                          <wps:cNvSpPr/>
                          <wps:spPr>
                            <a:xfrm>
                              <a:off x="0" y="0"/>
                              <a:ext cx="3771900" cy="2381250"/>
                            </a:xfrm>
                            <a:prstGeom prst="roundRect">
                              <a:avLst/>
                            </a:prstGeom>
                            <a:solidFill>
                              <a:srgbClr val="225833">
                                <a:alpha val="5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BF95C" w14:textId="77777777" w:rsidR="00160BD4" w:rsidRPr="00530A8A" w:rsidRDefault="00160BD4" w:rsidP="00D12833">
                                <w:pPr>
                                  <w:jc w:val="right"/>
                                  <w:rPr>
                                    <w:rFonts w:ascii="Museo Slab 500" w:hAnsi="Museo Slab 500"/>
                                    <w:b/>
                                    <w:bCs/>
                                    <w:sz w:val="28"/>
                                    <w:szCs w:val="28"/>
                                  </w:rPr>
                                </w:pPr>
                                <w:r w:rsidRPr="00530A8A">
                                  <w:rPr>
                                    <w:rFonts w:ascii="Museo Slab 500" w:hAnsi="Museo Slab 500"/>
                                    <w:b/>
                                    <w:bCs/>
                                    <w:sz w:val="28"/>
                                    <w:szCs w:val="28"/>
                                  </w:rPr>
                                  <w:t>Przegląd i projekt aktualizacji Programu działań mających na celu zmniejszenie zanieczyszczenia wód azotanami pochodzącymi ze źródeł rolniczych oraz zapobieganie dalszemu zanieczyszczeniu</w:t>
                                </w:r>
                              </w:p>
                              <w:p w14:paraId="5DB2921D" w14:textId="6625118E" w:rsidR="00160BD4" w:rsidRPr="00530A8A" w:rsidRDefault="00160BD4" w:rsidP="0046020E">
                                <w:pPr>
                                  <w:jc w:val="right"/>
                                </w:pPr>
                                <w:r w:rsidRPr="0046020E">
                                  <w:rPr>
                                    <w:rFonts w:ascii="Museo Slab 500" w:hAnsi="Museo Slab 500"/>
                                    <w:sz w:val="28"/>
                                    <w:szCs w:val="28"/>
                                  </w:rPr>
                                  <w:t>Analiza wyników stężeń azotanów w wodach</w:t>
                                </w:r>
                                <w:r>
                                  <w:rPr>
                                    <w:rFonts w:ascii="Museo Slab 500" w:hAnsi="Museo Slab 500"/>
                                    <w:sz w:val="28"/>
                                    <w:szCs w:val="28"/>
                                  </w:rPr>
                                  <w:t xml:space="preserve"> podziemnych i</w:t>
                                </w:r>
                                <w:r w:rsidRPr="0046020E">
                                  <w:rPr>
                                    <w:rFonts w:ascii="Museo Slab 500" w:hAnsi="Museo Slab 500"/>
                                    <w:sz w:val="28"/>
                                    <w:szCs w:val="28"/>
                                  </w:rPr>
                                  <w:t xml:space="preserve"> powierzchniowych w</w:t>
                                </w:r>
                                <w:r>
                                  <w:rPr>
                                    <w:rFonts w:ascii="Museo Slab 500" w:hAnsi="Museo Slab 500"/>
                                    <w:sz w:val="28"/>
                                    <w:szCs w:val="28"/>
                                  </w:rPr>
                                  <w:t xml:space="preserve"> roku</w:t>
                                </w:r>
                                <w:r w:rsidRPr="0046020E">
                                  <w:rPr>
                                    <w:rFonts w:ascii="Museo Slab 500" w:hAnsi="Museo Slab 500"/>
                                    <w:sz w:val="28"/>
                                    <w:szCs w:val="28"/>
                                  </w:rPr>
                                  <w:t xml:space="preserve"> 2020 </w:t>
                                </w:r>
                                <w:r>
                                  <w:rPr>
                                    <w:rFonts w:ascii="Museo Slab 500" w:hAnsi="Museo Slab 500"/>
                                    <w:sz w:val="28"/>
                                    <w:szCs w:val="28"/>
                                  </w:rPr>
                                  <w:t xml:space="preserve">- </w:t>
                                </w:r>
                                <w:r w:rsidRPr="0046020E">
                                  <w:rPr>
                                    <w:rFonts w:ascii="Museo Slab 500" w:hAnsi="Museo Slab 500"/>
                                    <w:sz w:val="28"/>
                                    <w:szCs w:val="28"/>
                                  </w:rPr>
                                  <w:t xml:space="preserve">w </w:t>
                                </w:r>
                                <w:r>
                                  <w:rPr>
                                    <w:rFonts w:ascii="Museo Slab 500" w:hAnsi="Museo Slab 500"/>
                                    <w:sz w:val="28"/>
                                    <w:szCs w:val="28"/>
                                  </w:rPr>
                                  <w:t>odniesieniu</w:t>
                                </w:r>
                                <w:r w:rsidRPr="0046020E">
                                  <w:rPr>
                                    <w:rFonts w:ascii="Museo Slab 500" w:hAnsi="Museo Slab 500"/>
                                    <w:sz w:val="28"/>
                                    <w:szCs w:val="28"/>
                                  </w:rPr>
                                  <w:t xml:space="preserve"> do okresu 2016 –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C817F" id="Prostokąt: zaokrąglone rogi 7" o:spid="_x0000_s1026" style="position:absolute;margin-left:298.5pt;margin-top:.45pt;width:297pt;height:18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" fillcolor="#225833" stroked="f" strokeweight="1pt">
                    <v:fill opacity="34181f"/>
                    <v:stroke joinstyle="miter"/>
                    <v:textbox>
                      <w:txbxContent>
                        <w:p w14:paraId="562BF95C" w14:textId="77777777" w:rsidR="00160BD4" w:rsidRPr="00530A8A" w:rsidRDefault="00160BD4" w:rsidP="00D12833">
                          <w:pPr>
                            <w:jc w:val="right"/>
                            <w:rPr>
                              <w:rFonts w:ascii="Museo Slab 500" w:hAnsi="Museo Slab 500"/>
                              <w:b/>
                              <w:bCs/>
                              <w:sz w:val="28"/>
                              <w:szCs w:val="28"/>
                            </w:rPr>
                          </w:pPr>
                          <w:r w:rsidRPr="00530A8A">
                            <w:rPr>
                              <w:rFonts w:ascii="Museo Slab 500" w:hAnsi="Museo Slab 500"/>
                              <w:b/>
                              <w:bCs/>
                              <w:sz w:val="28"/>
                              <w:szCs w:val="28"/>
                            </w:rPr>
                            <w:t>Przegląd i projekt aktualizacji Programu działań mających na celu zmniejszenie zanieczyszczenia wód azotanami pochodzącymi ze źródeł rolniczych oraz zapobieganie dalszemu zanieczyszczeniu</w:t>
                          </w:r>
                        </w:p>
                        <w:p w14:paraId="5DB2921D" w14:textId="6625118E" w:rsidR="00160BD4" w:rsidRPr="00530A8A" w:rsidRDefault="00160BD4" w:rsidP="0046020E">
                          <w:pPr>
                            <w:jc w:val="right"/>
                          </w:pPr>
                          <w:r w:rsidRPr="0046020E">
                            <w:rPr>
                              <w:rFonts w:ascii="Museo Slab 500" w:hAnsi="Museo Slab 500"/>
                              <w:sz w:val="28"/>
                              <w:szCs w:val="28"/>
                            </w:rPr>
                            <w:t>Analiza wyników stężeń azotanów w wodach</w:t>
                          </w:r>
                          <w:r>
                            <w:rPr>
                              <w:rFonts w:ascii="Museo Slab 500" w:hAnsi="Museo Slab 500"/>
                              <w:sz w:val="28"/>
                              <w:szCs w:val="28"/>
                            </w:rPr>
                            <w:t xml:space="preserve"> podziemnych i</w:t>
                          </w:r>
                          <w:r w:rsidRPr="0046020E">
                            <w:rPr>
                              <w:rFonts w:ascii="Museo Slab 500" w:hAnsi="Museo Slab 500"/>
                              <w:sz w:val="28"/>
                              <w:szCs w:val="28"/>
                            </w:rPr>
                            <w:t xml:space="preserve"> powierzchniowych w</w:t>
                          </w:r>
                          <w:r>
                            <w:rPr>
                              <w:rFonts w:ascii="Museo Slab 500" w:hAnsi="Museo Slab 500"/>
                              <w:sz w:val="28"/>
                              <w:szCs w:val="28"/>
                            </w:rPr>
                            <w:t xml:space="preserve"> roku</w:t>
                          </w:r>
                          <w:r w:rsidRPr="0046020E">
                            <w:rPr>
                              <w:rFonts w:ascii="Museo Slab 500" w:hAnsi="Museo Slab 500"/>
                              <w:sz w:val="28"/>
                              <w:szCs w:val="28"/>
                            </w:rPr>
                            <w:t xml:space="preserve"> 2020 </w:t>
                          </w:r>
                          <w:r>
                            <w:rPr>
                              <w:rFonts w:ascii="Museo Slab 500" w:hAnsi="Museo Slab 500"/>
                              <w:sz w:val="28"/>
                              <w:szCs w:val="28"/>
                            </w:rPr>
                            <w:t xml:space="preserve">- </w:t>
                          </w:r>
                          <w:r w:rsidRPr="0046020E">
                            <w:rPr>
                              <w:rFonts w:ascii="Museo Slab 500" w:hAnsi="Museo Slab 500"/>
                              <w:sz w:val="28"/>
                              <w:szCs w:val="28"/>
                            </w:rPr>
                            <w:t xml:space="preserve">w </w:t>
                          </w:r>
                          <w:r>
                            <w:rPr>
                              <w:rFonts w:ascii="Museo Slab 500" w:hAnsi="Museo Slab 500"/>
                              <w:sz w:val="28"/>
                              <w:szCs w:val="28"/>
                            </w:rPr>
                            <w:t>odniesieniu</w:t>
                          </w:r>
                          <w:r w:rsidRPr="0046020E">
                            <w:rPr>
                              <w:rFonts w:ascii="Museo Slab 500" w:hAnsi="Museo Slab 500"/>
                              <w:sz w:val="28"/>
                              <w:szCs w:val="28"/>
                            </w:rPr>
                            <w:t xml:space="preserve"> do okresu 2016 – 2019</w:t>
                          </w:r>
                        </w:p>
                      </w:txbxContent>
                    </v:textbox>
                    <w10:wrap anchorx="page"/>
                  </v:roundrect>
                </w:pict>
              </mc:Fallback>
            </mc:AlternateContent>
          </w:r>
        </w:p>
        <w:p w14:paraId="2ECE24C4" w14:textId="6247FE2C" w:rsidR="009A7B0E" w:rsidRDefault="009A7B0E" w:rsidP="002A04BE"/>
        <w:p w14:paraId="619CBD91" w14:textId="3F6FE293" w:rsidR="009A7B0E" w:rsidRDefault="009A7B0E" w:rsidP="002A04BE"/>
        <w:p w14:paraId="7AF66368" w14:textId="3E899883" w:rsidR="009A7B0E" w:rsidRDefault="009A7B0E" w:rsidP="002A04BE"/>
        <w:p w14:paraId="04233B5E" w14:textId="31671BDB" w:rsidR="009A7B0E" w:rsidRDefault="009A7B0E" w:rsidP="002A04BE"/>
        <w:p w14:paraId="33F9CECA" w14:textId="436BF755" w:rsidR="009A7B0E" w:rsidRDefault="009A7B0E" w:rsidP="002A04BE"/>
        <w:p w14:paraId="4F41B57D" w14:textId="05F34C59" w:rsidR="009A7B0E" w:rsidRDefault="009A7B0E" w:rsidP="002A04BE"/>
        <w:p w14:paraId="7066AA14" w14:textId="3FA7A1E9" w:rsidR="009A7B0E" w:rsidRDefault="009A7B0E" w:rsidP="002A04BE"/>
        <w:p w14:paraId="3216C811" w14:textId="45BE7627" w:rsidR="009A7B0E" w:rsidRDefault="009A7B0E" w:rsidP="002A04BE"/>
        <w:p w14:paraId="17431665" w14:textId="1C5D78EB" w:rsidR="009A7B0E" w:rsidRDefault="009A7B0E" w:rsidP="002A04BE"/>
        <w:p w14:paraId="4B48A282" w14:textId="6AAD42F8" w:rsidR="009A7B0E" w:rsidRDefault="009A7B0E" w:rsidP="002A04BE"/>
        <w:p w14:paraId="5C218FF1" w14:textId="08B86B99" w:rsidR="009A7B0E" w:rsidRDefault="009A7B0E" w:rsidP="002A04BE"/>
        <w:p w14:paraId="26048F58" w14:textId="17FBF6BE" w:rsidR="009A7B0E" w:rsidRDefault="009A7B0E" w:rsidP="002A04BE"/>
        <w:p w14:paraId="38358D59" w14:textId="797C5D41" w:rsidR="009A7B0E" w:rsidRDefault="009A7B0E" w:rsidP="002A04BE"/>
        <w:p w14:paraId="33128338" w14:textId="6840D7E1" w:rsidR="009A7B0E" w:rsidRDefault="009A7B0E" w:rsidP="002A04BE"/>
        <w:p w14:paraId="7D0E4DC4" w14:textId="77777777" w:rsidR="00FA65FF" w:rsidRDefault="00FA65FF" w:rsidP="002A04BE"/>
        <w:p w14:paraId="460ED078" w14:textId="77777777" w:rsidR="005B3F31" w:rsidRDefault="00E167D7" w:rsidP="002A04BE">
          <w:r>
            <w:rPr>
              <w:noProof/>
              <w:lang w:eastAsia="pl-PL"/>
            </w:rPr>
            <w:drawing>
              <wp:anchor distT="0" distB="0" distL="114300" distR="114300" simplePos="0" relativeHeight="251666432" behindDoc="1" locked="0" layoutInCell="1" allowOverlap="1" wp14:anchorId="3CC16102" wp14:editId="2FB95ACD">
                <wp:simplePos x="0" y="0"/>
                <wp:positionH relativeFrom="column">
                  <wp:posOffset>3451225</wp:posOffset>
                </wp:positionH>
                <wp:positionV relativeFrom="paragraph">
                  <wp:posOffset>188595</wp:posOffset>
                </wp:positionV>
                <wp:extent cx="2744147" cy="73152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825" cy="733300"/>
                        </a:xfrm>
                        <a:prstGeom prst="rect">
                          <a:avLst/>
                        </a:prstGeom>
                        <a:noFill/>
                      </pic:spPr>
                    </pic:pic>
                  </a:graphicData>
                </a:graphic>
                <wp14:sizeRelH relativeFrom="margin">
                  <wp14:pctWidth>0</wp14:pctWidth>
                </wp14:sizeRelH>
                <wp14:sizeRelV relativeFrom="margin">
                  <wp14:pctHeight>0</wp14:pctHeight>
                </wp14:sizeRelV>
              </wp:anchor>
            </w:drawing>
          </w:r>
          <w:r w:rsidR="00A469B6">
            <w:rPr>
              <w:noProof/>
              <w:lang w:eastAsia="pl-PL"/>
            </w:rPr>
            <w:drawing>
              <wp:inline distT="0" distB="0" distL="0" distR="0" wp14:anchorId="6678B68A" wp14:editId="17775789">
                <wp:extent cx="2690193" cy="1104900"/>
                <wp:effectExtent l="0" t="0" r="0" b="0"/>
                <wp:docPr id="9"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6258" cy="1115605"/>
                        </a:xfrm>
                        <a:prstGeom prst="rect">
                          <a:avLst/>
                        </a:prstGeom>
                        <a:noFill/>
                        <a:ln>
                          <a:noFill/>
                        </a:ln>
                      </pic:spPr>
                    </pic:pic>
                  </a:graphicData>
                </a:graphic>
              </wp:inline>
            </w:drawing>
          </w:r>
          <w:r w:rsidR="00C50FBA">
            <w:t xml:space="preserve">  </w:t>
          </w:r>
          <w:r w:rsidR="00FA65FF">
            <w:t xml:space="preserve">          </w:t>
          </w:r>
          <w:r w:rsidR="003639E8">
            <w:t xml:space="preserve"> </w:t>
          </w:r>
          <w:r w:rsidR="00C50FBA">
            <w:t xml:space="preserve"> </w:t>
          </w:r>
        </w:p>
        <w:p w14:paraId="27996219" w14:textId="77777777" w:rsidR="005B3F31" w:rsidRDefault="005B3F31" w:rsidP="002A04BE"/>
        <w:p w14:paraId="17AF7E1D" w14:textId="41605493" w:rsidR="00BA39B2" w:rsidRDefault="0091417D" w:rsidP="002A04BE"/>
      </w:sdtContent>
    </w:sdt>
    <w:p w14:paraId="6CEFAF31" w14:textId="36179105" w:rsidR="00B27363" w:rsidRPr="00AD3761" w:rsidRDefault="002D573E" w:rsidP="002A04BE">
      <w:pPr>
        <w:rPr>
          <w:u w:val="single"/>
        </w:rPr>
      </w:pPr>
      <w:r w:rsidRPr="00AD3761">
        <w:rPr>
          <w:u w:val="single"/>
        </w:rPr>
        <w:t xml:space="preserve">Numer </w:t>
      </w:r>
      <w:r w:rsidR="00BE2F82" w:rsidRPr="00AD3761">
        <w:rPr>
          <w:u w:val="single"/>
        </w:rPr>
        <w:t>E</w:t>
      </w:r>
      <w:r w:rsidRPr="00AD3761">
        <w:rPr>
          <w:u w:val="single"/>
        </w:rPr>
        <w:t xml:space="preserve">tapu: </w:t>
      </w:r>
      <w:r w:rsidR="00A90D2B">
        <w:rPr>
          <w:u w:val="single"/>
        </w:rPr>
        <w:t>PI</w:t>
      </w:r>
    </w:p>
    <w:p w14:paraId="4C323C55" w14:textId="4A0B2357" w:rsidR="00BE2F82" w:rsidRDefault="00BE2F82" w:rsidP="002A04BE">
      <w:pPr>
        <w:rPr>
          <w:u w:val="single"/>
        </w:rPr>
      </w:pPr>
      <w:r w:rsidRPr="00AD3761">
        <w:rPr>
          <w:u w:val="single"/>
        </w:rPr>
        <w:t xml:space="preserve">Numer Produktu: </w:t>
      </w:r>
      <w:r w:rsidR="00A90D2B">
        <w:rPr>
          <w:u w:val="single"/>
        </w:rPr>
        <w:t>PI.</w:t>
      </w:r>
      <w:r w:rsidR="00622F8C">
        <w:rPr>
          <w:u w:val="single"/>
        </w:rPr>
        <w:t>2</w:t>
      </w:r>
    </w:p>
    <w:p w14:paraId="6F651AF2" w14:textId="77777777" w:rsidR="0050684E" w:rsidRPr="00AD3761" w:rsidRDefault="0050684E" w:rsidP="002A04BE">
      <w:pPr>
        <w:rPr>
          <w:u w:val="single"/>
        </w:rPr>
      </w:pPr>
    </w:p>
    <w:p w14:paraId="050386DA" w14:textId="38BBA314" w:rsidR="00196551" w:rsidRDefault="006A0FB4" w:rsidP="002A04BE">
      <w:pPr>
        <w:jc w:val="center"/>
      </w:pPr>
      <w:r>
        <w:t xml:space="preserve">Warszawa, </w:t>
      </w:r>
      <w:r w:rsidR="00865898">
        <w:t xml:space="preserve">marzec </w:t>
      </w:r>
      <w:r>
        <w:t>2022</w:t>
      </w:r>
      <w:r w:rsidR="002A2B09">
        <w:t xml:space="preserve"> r. </w:t>
      </w:r>
    </w:p>
    <w:p w14:paraId="6A40FEB3" w14:textId="1AF1E7E1" w:rsidR="009A7B0E" w:rsidRDefault="00196551" w:rsidP="002A04BE">
      <w:r>
        <w:br w:type="page"/>
      </w:r>
    </w:p>
    <w:p w14:paraId="5C203C89" w14:textId="6038ED96" w:rsidR="0046020E" w:rsidRPr="009E1F2E" w:rsidRDefault="0046020E" w:rsidP="009E1F2E">
      <w:pPr>
        <w:pStyle w:val="Default"/>
        <w:numPr>
          <w:ilvl w:val="0"/>
          <w:numId w:val="21"/>
        </w:numPr>
        <w:spacing w:after="240" w:line="259" w:lineRule="auto"/>
        <w:ind w:left="714" w:hanging="357"/>
        <w:jc w:val="both"/>
        <w:rPr>
          <w:rFonts w:asciiTheme="majorHAnsi" w:hAnsiTheme="majorHAnsi"/>
          <w:bCs/>
          <w:color w:val="2F5496" w:themeColor="accent1" w:themeShade="BF"/>
          <w:sz w:val="32"/>
          <w:szCs w:val="22"/>
        </w:rPr>
      </w:pPr>
      <w:bookmarkStart w:id="1" w:name="_Hlk98530721"/>
      <w:r w:rsidRPr="00484AE0">
        <w:rPr>
          <w:rFonts w:asciiTheme="majorHAnsi" w:hAnsiTheme="majorHAnsi"/>
          <w:bCs/>
          <w:color w:val="2F5496" w:themeColor="accent1" w:themeShade="BF"/>
          <w:sz w:val="32"/>
          <w:szCs w:val="22"/>
        </w:rPr>
        <w:lastRenderedPageBreak/>
        <w:t>A</w:t>
      </w:r>
      <w:r>
        <w:rPr>
          <w:rFonts w:asciiTheme="majorHAnsi" w:hAnsiTheme="majorHAnsi"/>
          <w:bCs/>
          <w:color w:val="2F5496" w:themeColor="accent1" w:themeShade="BF"/>
          <w:sz w:val="32"/>
          <w:szCs w:val="22"/>
        </w:rPr>
        <w:t xml:space="preserve">NALIZA WYNIKÓW STĘŻEŃ AZOTANÓW W WODACH PODZIEMNCYH I POWIERZCHNIOWYCH W ROKU 2020 – </w:t>
      </w:r>
      <w:r w:rsidR="00CB789E">
        <w:rPr>
          <w:rFonts w:asciiTheme="majorHAnsi" w:hAnsiTheme="majorHAnsi"/>
          <w:bCs/>
          <w:color w:val="2F5496" w:themeColor="accent1" w:themeShade="BF"/>
          <w:sz w:val="32"/>
          <w:szCs w:val="22"/>
        </w:rPr>
        <w:br/>
      </w:r>
      <w:r>
        <w:rPr>
          <w:rFonts w:asciiTheme="majorHAnsi" w:hAnsiTheme="majorHAnsi"/>
          <w:bCs/>
          <w:color w:val="2F5496" w:themeColor="accent1" w:themeShade="BF"/>
          <w:sz w:val="32"/>
          <w:szCs w:val="22"/>
        </w:rPr>
        <w:t>W ODNIESIENIU DO OKRESU 2016-2020</w:t>
      </w:r>
      <w:r w:rsidRPr="00484AE0">
        <w:rPr>
          <w:rFonts w:asciiTheme="majorHAnsi" w:hAnsiTheme="majorHAnsi"/>
          <w:bCs/>
          <w:color w:val="2F5496" w:themeColor="accent1" w:themeShade="BF"/>
          <w:sz w:val="32"/>
          <w:szCs w:val="22"/>
        </w:rPr>
        <w:t xml:space="preserve"> </w:t>
      </w:r>
    </w:p>
    <w:p w14:paraId="5BBF2A4F" w14:textId="77777777" w:rsidR="0046020E" w:rsidRPr="00484AE0" w:rsidRDefault="0046020E" w:rsidP="002A04BE">
      <w:pPr>
        <w:pStyle w:val="Nagwek3"/>
        <w:numPr>
          <w:ilvl w:val="1"/>
          <w:numId w:val="21"/>
        </w:numPr>
        <w:tabs>
          <w:tab w:val="num" w:pos="360"/>
        </w:tabs>
        <w:spacing w:before="0" w:after="120"/>
        <w:ind w:left="1134" w:hanging="141"/>
        <w:rPr>
          <w:bCs/>
          <w:sz w:val="28"/>
          <w:szCs w:val="28"/>
        </w:rPr>
      </w:pPr>
      <w:bookmarkStart w:id="2" w:name="_Toc50738517"/>
      <w:r w:rsidRPr="00484AE0">
        <w:rPr>
          <w:bCs/>
          <w:sz w:val="28"/>
          <w:szCs w:val="28"/>
        </w:rPr>
        <w:t xml:space="preserve"> Wody </w:t>
      </w:r>
      <w:bookmarkEnd w:id="2"/>
      <w:r w:rsidRPr="00484AE0">
        <w:rPr>
          <w:bCs/>
          <w:sz w:val="28"/>
          <w:szCs w:val="28"/>
        </w:rPr>
        <w:t>powierzchniowe</w:t>
      </w:r>
    </w:p>
    <w:p w14:paraId="4FC71109" w14:textId="77777777" w:rsidR="0046020E" w:rsidRPr="00484AE0" w:rsidRDefault="0046020E" w:rsidP="002A04BE">
      <w:pPr>
        <w:autoSpaceDE w:val="0"/>
        <w:autoSpaceDN w:val="0"/>
        <w:adjustRightInd w:val="0"/>
        <w:spacing w:before="160" w:after="0"/>
        <w:jc w:val="both"/>
        <w:rPr>
          <w:rFonts w:cs="ArialNarrow"/>
          <w:bCs/>
        </w:rPr>
      </w:pPr>
      <w:bookmarkStart w:id="3" w:name="_Hlk98530646"/>
      <w:r w:rsidRPr="00484AE0">
        <w:rPr>
          <w:rFonts w:cs="ArialNarrow"/>
          <w:bCs/>
        </w:rPr>
        <w:t>A</w:t>
      </w:r>
      <w:r w:rsidRPr="00484AE0">
        <w:rPr>
          <w:bCs/>
        </w:rPr>
        <w:t>naliza wyników stężeń azotanów w wodach powierzchniowych w 2020 r. w stosunku do okresu 2016 – 2019</w:t>
      </w:r>
      <w:bookmarkEnd w:id="3"/>
      <w:r w:rsidRPr="00484AE0">
        <w:rPr>
          <w:bCs/>
        </w:rPr>
        <w:t xml:space="preserve"> </w:t>
      </w:r>
      <w:r w:rsidRPr="00B57833">
        <w:rPr>
          <w:rStyle w:val="Wyrnienieintensywne"/>
          <w:b w:val="0"/>
          <w:bCs w:val="0"/>
        </w:rPr>
        <w:t>została</w:t>
      </w:r>
      <w:r w:rsidRPr="00B57833">
        <w:rPr>
          <w:rStyle w:val="Wyrnienieintensywne"/>
        </w:rPr>
        <w:t xml:space="preserve"> </w:t>
      </w:r>
      <w:r w:rsidRPr="00B57833">
        <w:t>przeprowadzona</w:t>
      </w:r>
      <w:r w:rsidRPr="00484AE0">
        <w:rPr>
          <w:bCs/>
        </w:rPr>
        <w:t xml:space="preserve"> w zakresie:</w:t>
      </w:r>
    </w:p>
    <w:p w14:paraId="22E5552C" w14:textId="77777777" w:rsidR="0046020E" w:rsidRPr="00484AE0" w:rsidRDefault="0046020E" w:rsidP="002A04BE">
      <w:pPr>
        <w:pStyle w:val="Akapitzlist"/>
        <w:numPr>
          <w:ilvl w:val="0"/>
          <w:numId w:val="19"/>
        </w:numPr>
        <w:autoSpaceDE w:val="0"/>
        <w:autoSpaceDN w:val="0"/>
        <w:adjustRightInd w:val="0"/>
        <w:spacing w:before="160" w:after="0"/>
        <w:jc w:val="both"/>
        <w:rPr>
          <w:rFonts w:cs="ArialNarrow"/>
          <w:bCs/>
        </w:rPr>
      </w:pPr>
      <w:r w:rsidRPr="00484AE0">
        <w:rPr>
          <w:rFonts w:cs="ArialNarrow"/>
          <w:bCs/>
        </w:rPr>
        <w:t xml:space="preserve">wartości średnich rocznych, </w:t>
      </w:r>
    </w:p>
    <w:p w14:paraId="530136B9" w14:textId="77777777" w:rsidR="0046020E" w:rsidRPr="00484AE0" w:rsidRDefault="0046020E" w:rsidP="002A04BE">
      <w:pPr>
        <w:pStyle w:val="Akapitzlist"/>
        <w:numPr>
          <w:ilvl w:val="0"/>
          <w:numId w:val="19"/>
        </w:numPr>
        <w:autoSpaceDE w:val="0"/>
        <w:autoSpaceDN w:val="0"/>
        <w:adjustRightInd w:val="0"/>
        <w:spacing w:before="160" w:after="0"/>
        <w:jc w:val="both"/>
        <w:rPr>
          <w:rFonts w:cs="ArialNarrow"/>
          <w:bCs/>
        </w:rPr>
      </w:pPr>
      <w:r w:rsidRPr="00484AE0">
        <w:rPr>
          <w:rFonts w:cs="ArialNarrow"/>
          <w:bCs/>
        </w:rPr>
        <w:t>wartości średnich zimowych,</w:t>
      </w:r>
    </w:p>
    <w:p w14:paraId="709D4AD2" w14:textId="77777777" w:rsidR="0046020E" w:rsidRPr="00484AE0" w:rsidRDefault="0046020E" w:rsidP="002A04BE">
      <w:pPr>
        <w:pStyle w:val="Akapitzlist"/>
        <w:numPr>
          <w:ilvl w:val="0"/>
          <w:numId w:val="19"/>
        </w:numPr>
        <w:autoSpaceDE w:val="0"/>
        <w:autoSpaceDN w:val="0"/>
        <w:adjustRightInd w:val="0"/>
        <w:spacing w:before="160" w:after="0"/>
        <w:jc w:val="both"/>
        <w:rPr>
          <w:rFonts w:cs="ArialNarrow"/>
          <w:bCs/>
        </w:rPr>
      </w:pPr>
      <w:r w:rsidRPr="00484AE0">
        <w:rPr>
          <w:rFonts w:cs="ArialNarrow"/>
          <w:bCs/>
        </w:rPr>
        <w:t>wartości maksymalnych rocznych,</w:t>
      </w:r>
    </w:p>
    <w:p w14:paraId="5D4C3E8B" w14:textId="77777777" w:rsidR="0046020E" w:rsidRPr="00484AE0" w:rsidRDefault="0046020E" w:rsidP="002A04BE">
      <w:pPr>
        <w:pStyle w:val="Akapitzlist"/>
        <w:numPr>
          <w:ilvl w:val="0"/>
          <w:numId w:val="19"/>
        </w:numPr>
        <w:spacing w:before="160"/>
        <w:rPr>
          <w:rFonts w:cs="ArialNarrow"/>
          <w:bCs/>
        </w:rPr>
      </w:pPr>
      <w:r w:rsidRPr="00484AE0">
        <w:rPr>
          <w:rFonts w:cs="ArialNarrow"/>
          <w:bCs/>
        </w:rPr>
        <w:t xml:space="preserve">tendencji zmian wartości stężeń średnich i maksymalnych, które porównano z wynikami dla okresu sprawozdawczego 2016 – 2019. </w:t>
      </w:r>
    </w:p>
    <w:p w14:paraId="510835D5" w14:textId="579F321A" w:rsidR="0046020E" w:rsidRPr="00484AE0" w:rsidRDefault="0046020E" w:rsidP="002A04BE">
      <w:pPr>
        <w:autoSpaceDE w:val="0"/>
        <w:autoSpaceDN w:val="0"/>
        <w:adjustRightInd w:val="0"/>
        <w:spacing w:after="0"/>
        <w:jc w:val="both"/>
        <w:rPr>
          <w:rFonts w:cstheme="minorHAnsi"/>
          <w:bCs/>
        </w:rPr>
      </w:pPr>
      <w:r w:rsidRPr="00484AE0">
        <w:rPr>
          <w:rFonts w:cs="ArialNarrow"/>
          <w:bCs/>
        </w:rPr>
        <w:t>Źródłem danych do przeprowadzenia analiz</w:t>
      </w:r>
      <w:r w:rsidR="00560365">
        <w:rPr>
          <w:rFonts w:cs="ArialNarrow"/>
          <w:bCs/>
        </w:rPr>
        <w:t xml:space="preserve"> </w:t>
      </w:r>
      <w:r w:rsidRPr="00484AE0">
        <w:rPr>
          <w:rFonts w:cs="ArialNarrow"/>
          <w:bCs/>
        </w:rPr>
        <w:t xml:space="preserve">w zakresie wyników stężeń azotanów wodach powierzchniowych w latach 2016-2019, były załączniki tabelaryczne </w:t>
      </w:r>
      <w:r w:rsidRPr="00484AE0">
        <w:rPr>
          <w:rFonts w:cstheme="minorHAnsi"/>
          <w:bCs/>
        </w:rPr>
        <w:t>do Sprawozdania z realizacji dyrektywy 91/676/EWG (azotanowej) w latach 2016-2020 (w tym formularze raportowe do KE).</w:t>
      </w:r>
    </w:p>
    <w:p w14:paraId="43061654" w14:textId="0505DAB3" w:rsidR="0046020E" w:rsidRPr="00484AE0" w:rsidRDefault="00C02586" w:rsidP="002A04BE">
      <w:pPr>
        <w:autoSpaceDE w:val="0"/>
        <w:autoSpaceDN w:val="0"/>
        <w:adjustRightInd w:val="0"/>
        <w:spacing w:after="0"/>
        <w:jc w:val="both"/>
        <w:rPr>
          <w:rFonts w:cstheme="minorHAnsi"/>
          <w:bCs/>
        </w:rPr>
      </w:pPr>
      <w:r>
        <w:rPr>
          <w:rFonts w:cstheme="minorHAnsi"/>
          <w:bCs/>
        </w:rPr>
        <w:t>Informacji o wartościach</w:t>
      </w:r>
      <w:r w:rsidR="0046020E" w:rsidRPr="00484AE0">
        <w:rPr>
          <w:rFonts w:cstheme="minorHAnsi"/>
          <w:bCs/>
        </w:rPr>
        <w:t xml:space="preserve"> stężeń azotanów</w:t>
      </w:r>
      <w:r>
        <w:rPr>
          <w:rFonts w:cstheme="minorHAnsi"/>
          <w:bCs/>
        </w:rPr>
        <w:t xml:space="preserve"> w wodach powierzchniowych</w:t>
      </w:r>
      <w:r w:rsidR="0046020E" w:rsidRPr="00484AE0">
        <w:rPr>
          <w:rFonts w:cstheme="minorHAnsi"/>
          <w:bCs/>
        </w:rPr>
        <w:t xml:space="preserve"> w roku 2020, dostarczyły wyniki Państwowego </w:t>
      </w:r>
      <w:r w:rsidR="0059553F">
        <w:rPr>
          <w:rFonts w:cstheme="minorHAnsi"/>
          <w:bCs/>
        </w:rPr>
        <w:t>m</w:t>
      </w:r>
      <w:r w:rsidR="0046020E" w:rsidRPr="00484AE0">
        <w:rPr>
          <w:rFonts w:cstheme="minorHAnsi"/>
          <w:bCs/>
        </w:rPr>
        <w:t xml:space="preserve">onitoringu </w:t>
      </w:r>
      <w:r w:rsidR="0059553F">
        <w:rPr>
          <w:rFonts w:cstheme="minorHAnsi"/>
          <w:bCs/>
        </w:rPr>
        <w:t>ś</w:t>
      </w:r>
      <w:r w:rsidR="0046020E" w:rsidRPr="00484AE0">
        <w:rPr>
          <w:rFonts w:cstheme="minorHAnsi"/>
          <w:bCs/>
        </w:rPr>
        <w:t>rodowiska. W ramach PMŚ w wodach powierzchniowych, zgodnie z obowiązującym w 2020 r. rozporządzeniem w sprawie klasyfikacji stanu ekologicznego, potencjału ekologicznego i stanu chemicznego oraz sposobu klasyfikacji stanu jednolitych części wód powierzchniowych</w:t>
      </w:r>
      <w:r w:rsidR="0046020E" w:rsidRPr="00484AE0">
        <w:rPr>
          <w:rStyle w:val="Odwoanieprzypisudolnego"/>
          <w:rFonts w:cstheme="minorHAnsi"/>
          <w:bCs/>
        </w:rPr>
        <w:footnoteReference w:id="1"/>
      </w:r>
      <w:r w:rsidR="0046020E" w:rsidRPr="00484AE0">
        <w:rPr>
          <w:rFonts w:cstheme="minorHAnsi"/>
          <w:bCs/>
        </w:rPr>
        <w:t>, badano stężenie azotu azotanowego. Wyniki w zakresie azotu azotanowego, zostały na potrzeby przeprowadzenia niniejszych analiz przeliczone na azotany.</w:t>
      </w:r>
    </w:p>
    <w:p w14:paraId="5B936836" w14:textId="77777777" w:rsidR="0046020E" w:rsidRPr="00484AE0" w:rsidRDefault="0046020E" w:rsidP="002A04BE">
      <w:pPr>
        <w:autoSpaceDE w:val="0"/>
        <w:autoSpaceDN w:val="0"/>
        <w:adjustRightInd w:val="0"/>
        <w:spacing w:after="0"/>
        <w:jc w:val="both"/>
        <w:rPr>
          <w:rFonts w:cstheme="minorHAnsi"/>
          <w:bCs/>
        </w:rPr>
      </w:pPr>
      <w:r w:rsidRPr="00484AE0">
        <w:rPr>
          <w:rFonts w:cs="ArialNarrow"/>
          <w:bCs/>
        </w:rPr>
        <w:t>Analizę średnich wartości stężeń przeprowadzono na średnich arytmetycznych wyliczonych ze średnich wartości rocznych. Do analizy maksymalnych wartości stężeń nie wyliczano średnich wartości rocznych, lecz przeprowadzono ja na wartościach maksymalnych z analizowanego okresu.</w:t>
      </w:r>
    </w:p>
    <w:p w14:paraId="4111B556" w14:textId="77777777" w:rsidR="0046020E" w:rsidRPr="00484AE0" w:rsidRDefault="0046020E" w:rsidP="002A04BE">
      <w:pPr>
        <w:autoSpaceDE w:val="0"/>
        <w:autoSpaceDN w:val="0"/>
        <w:adjustRightInd w:val="0"/>
        <w:spacing w:before="160" w:after="0"/>
        <w:jc w:val="both"/>
        <w:rPr>
          <w:bCs/>
        </w:rPr>
      </w:pPr>
      <w:r w:rsidRPr="00484AE0">
        <w:rPr>
          <w:rFonts w:cs="ArialNarrow"/>
          <w:bCs/>
        </w:rPr>
        <w:t>W ramach prac, dokonano również identyfikacji punktów pomiarowych</w:t>
      </w:r>
      <w:r w:rsidRPr="00484AE0">
        <w:rPr>
          <w:bCs/>
        </w:rPr>
        <w:t>, w których odnotowano przekroczenie 25 mg NO</w:t>
      </w:r>
      <w:r w:rsidRPr="00484AE0">
        <w:rPr>
          <w:bCs/>
          <w:vertAlign w:val="subscript"/>
        </w:rPr>
        <w:t>3</w:t>
      </w:r>
      <w:r w:rsidRPr="00484AE0">
        <w:rPr>
          <w:bCs/>
        </w:rPr>
        <w:t xml:space="preserve">/l w okresie od 2016 do 2020 r. wraz z ustaleniem dla każdej JCWP możliwych przyczyn wystąpienia ww. przekroczeń. </w:t>
      </w:r>
    </w:p>
    <w:p w14:paraId="5F667649" w14:textId="2EE46FB2" w:rsidR="0046020E" w:rsidRPr="00484AE0" w:rsidRDefault="0046020E" w:rsidP="002A04BE">
      <w:pPr>
        <w:autoSpaceDE w:val="0"/>
        <w:autoSpaceDN w:val="0"/>
        <w:adjustRightInd w:val="0"/>
        <w:spacing w:after="0"/>
        <w:jc w:val="both"/>
        <w:rPr>
          <w:bCs/>
        </w:rPr>
      </w:pPr>
      <w:r w:rsidRPr="00484AE0">
        <w:rPr>
          <w:rFonts w:cs="ArialNarrow"/>
          <w:bCs/>
        </w:rPr>
        <w:t xml:space="preserve">Do analizy wyników stężeń azotanów w wodach powierzchniowych wykorzystano wyniki badań z 3954 punktów pomiarowo-kontrolnych </w:t>
      </w:r>
      <w:r w:rsidRPr="00484AE0">
        <w:rPr>
          <w:bCs/>
        </w:rPr>
        <w:t xml:space="preserve"> (</w:t>
      </w:r>
      <w:proofErr w:type="spellStart"/>
      <w:r w:rsidRPr="00484AE0">
        <w:rPr>
          <w:bCs/>
        </w:rPr>
        <w:t>ppk</w:t>
      </w:r>
      <w:proofErr w:type="spellEnd"/>
      <w:r w:rsidRPr="00484AE0">
        <w:rPr>
          <w:bCs/>
        </w:rPr>
        <w:t>) w ramach PMŚ, w których w latach 2016-2019 badano azot azotanowy</w:t>
      </w:r>
      <w:r w:rsidRPr="00484AE0">
        <w:rPr>
          <w:rFonts w:cs="ArialNarrow"/>
          <w:bCs/>
        </w:rPr>
        <w:t xml:space="preserve"> oraz z 1340 </w:t>
      </w:r>
      <w:proofErr w:type="spellStart"/>
      <w:r w:rsidRPr="00484AE0">
        <w:rPr>
          <w:rFonts w:cs="ArialNarrow"/>
          <w:bCs/>
        </w:rPr>
        <w:t>ppk</w:t>
      </w:r>
      <w:proofErr w:type="spellEnd"/>
      <w:r w:rsidRPr="00484AE0">
        <w:rPr>
          <w:rFonts w:cs="ArialNarrow"/>
          <w:bCs/>
        </w:rPr>
        <w:t xml:space="preserve"> monitorowanych w zakresie azotu azotanowego w roku 2020. </w:t>
      </w:r>
      <w:r w:rsidRPr="00484AE0">
        <w:rPr>
          <w:bCs/>
        </w:rPr>
        <w:t>Wyniki zmian stężeń azotanów w wodach powierzchniowych w latach 2016-2020 r., zostały przedstawione z</w:t>
      </w:r>
      <w:r w:rsidR="00C02586">
        <w:rPr>
          <w:bCs/>
        </w:rPr>
        <w:t> </w:t>
      </w:r>
      <w:r w:rsidRPr="00484AE0">
        <w:rPr>
          <w:bCs/>
        </w:rPr>
        <w:t>uwzględnieniem kategorii monitorowanych wód.</w:t>
      </w:r>
    </w:p>
    <w:p w14:paraId="78D4CABF" w14:textId="77777777" w:rsidR="0046020E" w:rsidRPr="00484AE0" w:rsidRDefault="0046020E" w:rsidP="005D25F7">
      <w:pPr>
        <w:autoSpaceDE w:val="0"/>
        <w:autoSpaceDN w:val="0"/>
        <w:adjustRightInd w:val="0"/>
        <w:spacing w:after="0"/>
        <w:jc w:val="both"/>
        <w:rPr>
          <w:bCs/>
        </w:rPr>
      </w:pPr>
    </w:p>
    <w:p w14:paraId="167307BC" w14:textId="77777777" w:rsidR="0046020E" w:rsidRPr="00484AE0" w:rsidRDefault="0046020E" w:rsidP="005D25F7">
      <w:pPr>
        <w:pStyle w:val="Akapitzlist"/>
        <w:keepNext/>
        <w:numPr>
          <w:ilvl w:val="2"/>
          <w:numId w:val="21"/>
        </w:numPr>
        <w:ind w:left="1418" w:hanging="567"/>
        <w:jc w:val="both"/>
        <w:rPr>
          <w:rStyle w:val="Wyrnienieintensywne"/>
          <w:rFonts w:asciiTheme="majorHAnsi" w:hAnsiTheme="majorHAnsi"/>
          <w:b w:val="0"/>
          <w:bCs w:val="0"/>
          <w:color w:val="2F5496" w:themeColor="accent1" w:themeShade="BF"/>
        </w:rPr>
      </w:pPr>
      <w:r w:rsidRPr="00484AE0">
        <w:rPr>
          <w:rStyle w:val="Wyrnienieintensywne"/>
          <w:rFonts w:asciiTheme="majorHAnsi" w:hAnsiTheme="majorHAnsi"/>
          <w:b w:val="0"/>
          <w:bCs w:val="0"/>
          <w:color w:val="2F5496" w:themeColor="accent1" w:themeShade="BF"/>
        </w:rPr>
        <w:t>Punkty monitorowania wód powierzchniowych</w:t>
      </w:r>
    </w:p>
    <w:p w14:paraId="53871256" w14:textId="77777777" w:rsidR="0046020E" w:rsidRPr="00484AE0" w:rsidRDefault="0046020E" w:rsidP="002A04BE">
      <w:pPr>
        <w:spacing w:after="0"/>
        <w:jc w:val="both"/>
        <w:rPr>
          <w:bCs/>
        </w:rPr>
      </w:pPr>
      <w:r w:rsidRPr="00484AE0">
        <w:rPr>
          <w:bCs/>
        </w:rPr>
        <w:t>Jednolite części wód powierzchniowych (JCWP) monitorowane są w ramach Państwowego monitoringu środowiska w sieci punktów pomiarowo-kontrolnych (</w:t>
      </w:r>
      <w:proofErr w:type="spellStart"/>
      <w:r w:rsidRPr="00484AE0">
        <w:rPr>
          <w:bCs/>
        </w:rPr>
        <w:t>ppk</w:t>
      </w:r>
      <w:proofErr w:type="spellEnd"/>
      <w:r w:rsidRPr="00484AE0">
        <w:rPr>
          <w:bCs/>
        </w:rPr>
        <w:t xml:space="preserve">). Program monitoringu realizowany jest w ramach czterech rodzajów monitoringu: </w:t>
      </w:r>
    </w:p>
    <w:p w14:paraId="7FD75610" w14:textId="77777777" w:rsidR="0046020E" w:rsidRPr="00484AE0" w:rsidRDefault="0046020E" w:rsidP="002A04BE">
      <w:pPr>
        <w:pStyle w:val="Akapitzlist"/>
        <w:numPr>
          <w:ilvl w:val="0"/>
          <w:numId w:val="19"/>
        </w:numPr>
        <w:autoSpaceDE w:val="0"/>
        <w:autoSpaceDN w:val="0"/>
        <w:adjustRightInd w:val="0"/>
        <w:spacing w:after="0"/>
        <w:jc w:val="both"/>
        <w:rPr>
          <w:rFonts w:cs="ArialNarrow"/>
          <w:bCs/>
        </w:rPr>
      </w:pPr>
      <w:r w:rsidRPr="00484AE0">
        <w:rPr>
          <w:rFonts w:cs="ArialNarrow"/>
          <w:bCs/>
        </w:rPr>
        <w:t xml:space="preserve">diagnostycznego, którego celem jest ocena stanu JCWP, w celu uzupełnienia identyfikacji rodzajów i wielkości znaczących oddziaływań antropogenicznych, na które są narażone JCWP </w:t>
      </w:r>
      <w:r w:rsidRPr="00484AE0">
        <w:rPr>
          <w:rFonts w:cs="ArialNarrow"/>
          <w:bCs/>
        </w:rPr>
        <w:lastRenderedPageBreak/>
        <w:t xml:space="preserve">w danym obszarze dorzecza oraz potwierdzenia oceny wpływu znaczących oddziaływań, w tym oddziaływań antropogenicznych, na stan wód powierzchniowych (monitoring prowadzony w cyklach rocznych, z częstotliwością nie mniejszą </w:t>
      </w:r>
      <w:r w:rsidRPr="00484AE0">
        <w:t>niż co 6 lat);</w:t>
      </w:r>
    </w:p>
    <w:p w14:paraId="030DA871" w14:textId="77777777" w:rsidR="0046020E" w:rsidRPr="00484AE0" w:rsidRDefault="0046020E" w:rsidP="002A04BE">
      <w:pPr>
        <w:pStyle w:val="Akapitzlist"/>
        <w:numPr>
          <w:ilvl w:val="0"/>
          <w:numId w:val="19"/>
        </w:numPr>
        <w:autoSpaceDE w:val="0"/>
        <w:autoSpaceDN w:val="0"/>
        <w:adjustRightInd w:val="0"/>
        <w:spacing w:after="0"/>
        <w:jc w:val="both"/>
        <w:rPr>
          <w:rFonts w:cs="ArialNarrow"/>
          <w:bCs/>
        </w:rPr>
      </w:pPr>
      <w:r w:rsidRPr="00484AE0">
        <w:rPr>
          <w:rFonts w:cs="ArialNarrow"/>
          <w:bCs/>
        </w:rPr>
        <w:t xml:space="preserve">operacyjnego, który ustala się w celu oceny stanu JCWP uznanych za zagrożone niespełnieniem określonych dla nich celów środowiskowych oraz oceny zmian stanu wynikających w realizacji działań określonych w zestawie działań i programie działań (monitoring prowadzony w cyklach rocznych, z częstotliwością nie mniejszą </w:t>
      </w:r>
      <w:r w:rsidRPr="00484AE0">
        <w:t>niż co 3 lata);</w:t>
      </w:r>
    </w:p>
    <w:p w14:paraId="3E0397A5" w14:textId="471A5F9D" w:rsidR="0046020E" w:rsidRPr="00484AE0" w:rsidRDefault="0046020E" w:rsidP="002A04BE">
      <w:pPr>
        <w:pStyle w:val="Akapitzlist"/>
        <w:numPr>
          <w:ilvl w:val="0"/>
          <w:numId w:val="19"/>
        </w:numPr>
        <w:autoSpaceDE w:val="0"/>
        <w:autoSpaceDN w:val="0"/>
        <w:adjustRightInd w:val="0"/>
        <w:spacing w:after="0"/>
        <w:jc w:val="both"/>
        <w:rPr>
          <w:rFonts w:cs="ArialNarrow"/>
          <w:bCs/>
        </w:rPr>
      </w:pPr>
      <w:r w:rsidRPr="00484AE0">
        <w:rPr>
          <w:rFonts w:cs="ArialNarrow"/>
          <w:bCs/>
        </w:rPr>
        <w:t xml:space="preserve">badawczego, który ustala się m.in. </w:t>
      </w:r>
      <w:r w:rsidR="00B67724">
        <w:rPr>
          <w:rFonts w:cs="ArialNarrow"/>
          <w:bCs/>
        </w:rPr>
        <w:t xml:space="preserve">dla </w:t>
      </w:r>
      <w:r w:rsidRPr="00484AE0">
        <w:t>wyjaśnienia przyczyn nieosiągnięcia celów środowiskowych określonych dla danej jednolitej części wód powierzchniowych,</w:t>
      </w:r>
    </w:p>
    <w:p w14:paraId="2ADD6F4F" w14:textId="77777777" w:rsidR="0046020E" w:rsidRPr="00484AE0" w:rsidRDefault="0046020E" w:rsidP="002A04BE">
      <w:pPr>
        <w:pStyle w:val="Akapitzlist"/>
        <w:numPr>
          <w:ilvl w:val="0"/>
          <w:numId w:val="19"/>
        </w:numPr>
        <w:autoSpaceDE w:val="0"/>
        <w:autoSpaceDN w:val="0"/>
        <w:adjustRightInd w:val="0"/>
        <w:spacing w:after="0"/>
        <w:jc w:val="both"/>
        <w:rPr>
          <w:rFonts w:cs="ArialNarrow"/>
          <w:bCs/>
        </w:rPr>
      </w:pPr>
      <w:r w:rsidRPr="00484AE0">
        <w:rPr>
          <w:rFonts w:cs="ArialNarrow"/>
          <w:bCs/>
        </w:rPr>
        <w:t xml:space="preserve">obszarów chronionych, który </w:t>
      </w:r>
      <w:r w:rsidRPr="00484AE0">
        <w:t>ustala się w celu oceny wypełnienia dodatkowych wymagań ustanowionych dla spełnienia celów środowiskowych dla obszarów chronionych.</w:t>
      </w:r>
    </w:p>
    <w:p w14:paraId="0C03F66E" w14:textId="5EFD7DC4" w:rsidR="0046020E" w:rsidRPr="00484AE0" w:rsidRDefault="0046020E" w:rsidP="002A04BE">
      <w:pPr>
        <w:spacing w:after="0"/>
        <w:jc w:val="both"/>
        <w:rPr>
          <w:bCs/>
        </w:rPr>
      </w:pPr>
      <w:r w:rsidRPr="00484AE0">
        <w:rPr>
          <w:bCs/>
        </w:rPr>
        <w:t>Monitoring diagnostyczny i operacyjny realizowany jest w punkcie pomiarowo kontrolnym reprezentatywnym dla ocenianej jednolitej części wód. Badania w ramach monitoringu badawczego i</w:t>
      </w:r>
      <w:r w:rsidR="002B7220">
        <w:rPr>
          <w:bCs/>
        </w:rPr>
        <w:t> </w:t>
      </w:r>
      <w:r w:rsidRPr="00484AE0">
        <w:rPr>
          <w:bCs/>
        </w:rPr>
        <w:t>monitoringu obszarów chronionych prowadzone są w miejscu zależnym od występowania badanego zjawiska/zdarzenia/skażenia oraz od umiejscowienia danego obszaru chronionego.</w:t>
      </w:r>
      <w:r w:rsidRPr="00484AE0">
        <w:rPr>
          <w:rStyle w:val="Odwoanieprzypisudolnego"/>
          <w:bCs/>
        </w:rPr>
        <w:footnoteReference w:id="2"/>
      </w:r>
    </w:p>
    <w:p w14:paraId="0F118D71" w14:textId="77777777" w:rsidR="0046020E" w:rsidRPr="00484AE0" w:rsidRDefault="0046020E" w:rsidP="002A04BE">
      <w:pPr>
        <w:spacing w:after="0"/>
        <w:jc w:val="both"/>
        <w:rPr>
          <w:bCs/>
        </w:rPr>
      </w:pPr>
    </w:p>
    <w:p w14:paraId="2F6BD35C" w14:textId="1E9DFEA6" w:rsidR="0046020E" w:rsidRPr="00484AE0" w:rsidRDefault="0046020E" w:rsidP="002A04BE">
      <w:pPr>
        <w:spacing w:after="0"/>
        <w:jc w:val="both"/>
        <w:rPr>
          <w:bCs/>
        </w:rPr>
      </w:pPr>
      <w:r w:rsidRPr="00484AE0">
        <w:rPr>
          <w:bCs/>
        </w:rPr>
        <w:t xml:space="preserve">W latach 2016-2019 w ramach monitoringu wód powierzchniowych, azot azotanowy był badany łącznie w 3954 punktach pomiarowo-kontrolnych, natomiast w roku 2020 – w 1340 </w:t>
      </w:r>
      <w:proofErr w:type="spellStart"/>
      <w:r w:rsidRPr="00484AE0">
        <w:rPr>
          <w:bCs/>
        </w:rPr>
        <w:t>ppk</w:t>
      </w:r>
      <w:proofErr w:type="spellEnd"/>
      <w:r w:rsidRPr="00484AE0">
        <w:rPr>
          <w:bCs/>
        </w:rPr>
        <w:t>. Liczbę punktów monitorowania wód powierzchniowych w podziale na kategorie wód, przedstawia poniższa tabela.</w:t>
      </w:r>
    </w:p>
    <w:p w14:paraId="569849CF" w14:textId="77777777" w:rsidR="0046020E" w:rsidRPr="00D33E9F" w:rsidRDefault="0046020E" w:rsidP="00D33E9F">
      <w:pPr>
        <w:pStyle w:val="Legenda"/>
        <w:spacing w:before="120" w:after="0" w:line="259" w:lineRule="auto"/>
        <w:jc w:val="both"/>
        <w:rPr>
          <w:i w:val="0"/>
          <w:iCs w:val="0"/>
          <w:color w:val="2F5496" w:themeColor="accent1" w:themeShade="BF"/>
          <w:sz w:val="20"/>
          <w:szCs w:val="20"/>
        </w:rPr>
      </w:pPr>
      <w:bookmarkStart w:id="4" w:name="_Ref46409038"/>
      <w:bookmarkStart w:id="5" w:name="_Toc43976499"/>
      <w:bookmarkStart w:id="6" w:name="_Toc50978501"/>
      <w:r w:rsidRPr="00D33E9F">
        <w:rPr>
          <w:i w:val="0"/>
          <w:iCs w:val="0"/>
          <w:color w:val="2F5496" w:themeColor="accent1" w:themeShade="BF"/>
          <w:sz w:val="20"/>
          <w:szCs w:val="20"/>
        </w:rPr>
        <w:t xml:space="preserve">Tabela </w:t>
      </w:r>
      <w:r w:rsidRPr="00D33E9F">
        <w:rPr>
          <w:i w:val="0"/>
          <w:iCs w:val="0"/>
          <w:color w:val="2F5496" w:themeColor="accent1" w:themeShade="BF"/>
          <w:sz w:val="20"/>
          <w:szCs w:val="20"/>
        </w:rPr>
        <w:fldChar w:fldCharType="begin"/>
      </w:r>
      <w:r w:rsidRPr="00D33E9F">
        <w:rPr>
          <w:i w:val="0"/>
          <w:iCs w:val="0"/>
          <w:color w:val="2F5496" w:themeColor="accent1" w:themeShade="BF"/>
          <w:sz w:val="20"/>
          <w:szCs w:val="20"/>
        </w:rPr>
        <w:instrText xml:space="preserve"> SEQ Tabela \* ARABIC </w:instrText>
      </w:r>
      <w:r w:rsidRPr="00D33E9F">
        <w:rPr>
          <w:i w:val="0"/>
          <w:iCs w:val="0"/>
          <w:color w:val="2F5496" w:themeColor="accent1" w:themeShade="BF"/>
          <w:sz w:val="20"/>
          <w:szCs w:val="20"/>
        </w:rPr>
        <w:fldChar w:fldCharType="separate"/>
      </w:r>
      <w:r w:rsidR="00721148">
        <w:rPr>
          <w:i w:val="0"/>
          <w:iCs w:val="0"/>
          <w:noProof/>
          <w:color w:val="2F5496" w:themeColor="accent1" w:themeShade="BF"/>
          <w:sz w:val="20"/>
          <w:szCs w:val="20"/>
        </w:rPr>
        <w:t>1</w:t>
      </w:r>
      <w:r w:rsidRPr="00D33E9F">
        <w:rPr>
          <w:i w:val="0"/>
          <w:iCs w:val="0"/>
          <w:color w:val="2F5496" w:themeColor="accent1" w:themeShade="BF"/>
          <w:sz w:val="20"/>
          <w:szCs w:val="20"/>
        </w:rPr>
        <w:fldChar w:fldCharType="end"/>
      </w:r>
      <w:r w:rsidRPr="00D33E9F">
        <w:rPr>
          <w:i w:val="0"/>
          <w:iCs w:val="0"/>
          <w:color w:val="2F5496" w:themeColor="accent1" w:themeShade="BF"/>
          <w:sz w:val="20"/>
          <w:szCs w:val="20"/>
        </w:rPr>
        <w:t>.</w:t>
      </w:r>
      <w:bookmarkStart w:id="7" w:name="_Hlk49943501"/>
      <w:bookmarkEnd w:id="4"/>
      <w:r w:rsidRPr="00D33E9F">
        <w:rPr>
          <w:i w:val="0"/>
          <w:iCs w:val="0"/>
          <w:color w:val="2F5496" w:themeColor="accent1" w:themeShade="BF"/>
          <w:sz w:val="20"/>
          <w:szCs w:val="20"/>
        </w:rPr>
        <w:t xml:space="preserve"> Liczba punktów monitorowania </w:t>
      </w:r>
      <w:bookmarkEnd w:id="5"/>
      <w:bookmarkEnd w:id="6"/>
      <w:bookmarkEnd w:id="7"/>
      <w:r w:rsidRPr="00D33E9F">
        <w:rPr>
          <w:i w:val="0"/>
          <w:iCs w:val="0"/>
          <w:color w:val="2F5496" w:themeColor="accent1" w:themeShade="BF"/>
          <w:sz w:val="20"/>
          <w:szCs w:val="20"/>
        </w:rPr>
        <w:t>wód powierzchniowych w zakresie azotu azotanowego z podziałem na kategorie wód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1983"/>
        <w:gridCol w:w="1704"/>
        <w:gridCol w:w="2264"/>
      </w:tblGrid>
      <w:tr w:rsidR="0046020E" w:rsidRPr="00484AE0" w14:paraId="29065798" w14:textId="77777777" w:rsidTr="00397E41">
        <w:trPr>
          <w:trHeight w:val="454"/>
          <w:tblHeader/>
        </w:trPr>
        <w:tc>
          <w:tcPr>
            <w:tcW w:w="1717" w:type="pct"/>
            <w:shd w:val="clear" w:color="auto" w:fill="2F5496" w:themeFill="accent1" w:themeFillShade="BF"/>
            <w:vAlign w:val="center"/>
          </w:tcPr>
          <w:p w14:paraId="2B547ECA" w14:textId="77777777" w:rsidR="0046020E" w:rsidRPr="00484AE0" w:rsidRDefault="0046020E" w:rsidP="002A04BE">
            <w:pPr>
              <w:spacing w:after="0"/>
              <w:jc w:val="center"/>
              <w:rPr>
                <w:bCs/>
                <w:color w:val="FFFFFF" w:themeColor="background1"/>
              </w:rPr>
            </w:pPr>
            <w:r w:rsidRPr="00484AE0">
              <w:rPr>
                <w:bCs/>
                <w:color w:val="FFFFFF" w:themeColor="background1"/>
              </w:rPr>
              <w:t>Liczba punktów</w:t>
            </w:r>
          </w:p>
        </w:tc>
        <w:tc>
          <w:tcPr>
            <w:tcW w:w="1094" w:type="pct"/>
            <w:shd w:val="clear" w:color="auto" w:fill="2F5496" w:themeFill="accent1" w:themeFillShade="BF"/>
            <w:vAlign w:val="center"/>
          </w:tcPr>
          <w:p w14:paraId="6390D722" w14:textId="77777777" w:rsidR="0046020E" w:rsidRPr="00484AE0" w:rsidRDefault="0046020E" w:rsidP="002A04BE">
            <w:pPr>
              <w:spacing w:after="0"/>
              <w:jc w:val="center"/>
              <w:rPr>
                <w:bCs/>
                <w:color w:val="FFFFFF" w:themeColor="background1"/>
              </w:rPr>
            </w:pPr>
            <w:r w:rsidRPr="00484AE0">
              <w:rPr>
                <w:bCs/>
                <w:color w:val="FFFFFF" w:themeColor="background1"/>
              </w:rPr>
              <w:t>2016-2019</w:t>
            </w:r>
          </w:p>
        </w:tc>
        <w:tc>
          <w:tcPr>
            <w:tcW w:w="940" w:type="pct"/>
            <w:shd w:val="clear" w:color="auto" w:fill="2F5496" w:themeFill="accent1" w:themeFillShade="BF"/>
            <w:vAlign w:val="center"/>
          </w:tcPr>
          <w:p w14:paraId="469A25B1" w14:textId="77777777" w:rsidR="0046020E" w:rsidRPr="00484AE0" w:rsidRDefault="0046020E" w:rsidP="002A04BE">
            <w:pPr>
              <w:spacing w:after="0"/>
              <w:jc w:val="center"/>
              <w:rPr>
                <w:bCs/>
                <w:color w:val="FFFFFF" w:themeColor="background1"/>
              </w:rPr>
            </w:pPr>
            <w:r w:rsidRPr="00484AE0">
              <w:rPr>
                <w:bCs/>
                <w:color w:val="FFFFFF" w:themeColor="background1"/>
              </w:rPr>
              <w:t>2020</w:t>
            </w:r>
          </w:p>
        </w:tc>
        <w:tc>
          <w:tcPr>
            <w:tcW w:w="1249" w:type="pct"/>
            <w:shd w:val="clear" w:color="auto" w:fill="2F5496" w:themeFill="accent1" w:themeFillShade="BF"/>
            <w:vAlign w:val="center"/>
          </w:tcPr>
          <w:p w14:paraId="22A4D82F" w14:textId="77777777" w:rsidR="0046020E" w:rsidRPr="00484AE0" w:rsidRDefault="0046020E" w:rsidP="002A04BE">
            <w:pPr>
              <w:spacing w:after="0"/>
              <w:jc w:val="center"/>
              <w:rPr>
                <w:bCs/>
                <w:color w:val="FFFFFF" w:themeColor="background1"/>
              </w:rPr>
            </w:pPr>
            <w:r w:rsidRPr="00484AE0">
              <w:rPr>
                <w:bCs/>
                <w:color w:val="FFFFFF" w:themeColor="background1"/>
              </w:rPr>
              <w:t>Punkty wspólne</w:t>
            </w:r>
          </w:p>
        </w:tc>
      </w:tr>
      <w:tr w:rsidR="0046020E" w:rsidRPr="00484AE0" w14:paraId="5DB8170F" w14:textId="77777777" w:rsidTr="00397E41">
        <w:trPr>
          <w:trHeight w:val="340"/>
        </w:trPr>
        <w:tc>
          <w:tcPr>
            <w:tcW w:w="1717" w:type="pct"/>
            <w:shd w:val="clear" w:color="auto" w:fill="auto"/>
            <w:vAlign w:val="center"/>
          </w:tcPr>
          <w:p w14:paraId="735B37DC" w14:textId="77777777" w:rsidR="0046020E" w:rsidRPr="00484AE0" w:rsidRDefault="0046020E" w:rsidP="002A04BE">
            <w:pPr>
              <w:spacing w:after="0"/>
              <w:rPr>
                <w:bCs/>
              </w:rPr>
            </w:pPr>
            <w:r w:rsidRPr="00484AE0">
              <w:rPr>
                <w:bCs/>
              </w:rPr>
              <w:t xml:space="preserve">Rzeki </w:t>
            </w:r>
          </w:p>
        </w:tc>
        <w:tc>
          <w:tcPr>
            <w:tcW w:w="1094" w:type="pct"/>
            <w:shd w:val="clear" w:color="auto" w:fill="auto"/>
            <w:vAlign w:val="center"/>
          </w:tcPr>
          <w:p w14:paraId="0D7AE45E" w14:textId="77777777" w:rsidR="0046020E" w:rsidRPr="00484AE0" w:rsidRDefault="0046020E" w:rsidP="002A04BE">
            <w:pPr>
              <w:spacing w:after="0"/>
              <w:jc w:val="center"/>
              <w:rPr>
                <w:bCs/>
              </w:rPr>
            </w:pPr>
            <w:r w:rsidRPr="00484AE0">
              <w:rPr>
                <w:bCs/>
              </w:rPr>
              <w:t>3384</w:t>
            </w:r>
          </w:p>
        </w:tc>
        <w:tc>
          <w:tcPr>
            <w:tcW w:w="940" w:type="pct"/>
            <w:shd w:val="clear" w:color="auto" w:fill="auto"/>
            <w:vAlign w:val="center"/>
          </w:tcPr>
          <w:p w14:paraId="3E979DED" w14:textId="77777777" w:rsidR="0046020E" w:rsidRPr="00484AE0" w:rsidRDefault="0046020E" w:rsidP="002A04BE">
            <w:pPr>
              <w:spacing w:after="0"/>
              <w:jc w:val="center"/>
              <w:rPr>
                <w:bCs/>
              </w:rPr>
            </w:pPr>
            <w:r w:rsidRPr="00484AE0">
              <w:rPr>
                <w:bCs/>
              </w:rPr>
              <w:t>1121</w:t>
            </w:r>
          </w:p>
        </w:tc>
        <w:tc>
          <w:tcPr>
            <w:tcW w:w="1249" w:type="pct"/>
            <w:shd w:val="clear" w:color="auto" w:fill="auto"/>
            <w:vAlign w:val="center"/>
          </w:tcPr>
          <w:p w14:paraId="59925447" w14:textId="77777777" w:rsidR="0046020E" w:rsidRPr="00484AE0" w:rsidRDefault="0046020E" w:rsidP="002A04BE">
            <w:pPr>
              <w:spacing w:after="0"/>
              <w:jc w:val="center"/>
              <w:rPr>
                <w:bCs/>
              </w:rPr>
            </w:pPr>
            <w:r w:rsidRPr="00484AE0">
              <w:rPr>
                <w:bCs/>
              </w:rPr>
              <w:t>833</w:t>
            </w:r>
          </w:p>
        </w:tc>
      </w:tr>
      <w:tr w:rsidR="0046020E" w:rsidRPr="00484AE0" w14:paraId="5089991D" w14:textId="77777777" w:rsidTr="00397E41">
        <w:trPr>
          <w:trHeight w:val="340"/>
        </w:trPr>
        <w:tc>
          <w:tcPr>
            <w:tcW w:w="1717" w:type="pct"/>
            <w:shd w:val="clear" w:color="auto" w:fill="auto"/>
            <w:vAlign w:val="center"/>
          </w:tcPr>
          <w:p w14:paraId="7A599088" w14:textId="77777777" w:rsidR="0046020E" w:rsidRPr="00484AE0" w:rsidRDefault="0046020E" w:rsidP="002A04BE">
            <w:pPr>
              <w:spacing w:after="0"/>
              <w:rPr>
                <w:bCs/>
              </w:rPr>
            </w:pPr>
            <w:r w:rsidRPr="00484AE0">
              <w:rPr>
                <w:bCs/>
              </w:rPr>
              <w:t>Jeziora</w:t>
            </w:r>
          </w:p>
        </w:tc>
        <w:tc>
          <w:tcPr>
            <w:tcW w:w="1094" w:type="pct"/>
            <w:shd w:val="clear" w:color="auto" w:fill="auto"/>
            <w:vAlign w:val="center"/>
          </w:tcPr>
          <w:p w14:paraId="590ABBCC" w14:textId="77777777" w:rsidR="0046020E" w:rsidRPr="00484AE0" w:rsidRDefault="0046020E" w:rsidP="002A04BE">
            <w:pPr>
              <w:spacing w:after="0"/>
              <w:jc w:val="center"/>
              <w:rPr>
                <w:bCs/>
              </w:rPr>
            </w:pPr>
            <w:r w:rsidRPr="00484AE0">
              <w:rPr>
                <w:bCs/>
              </w:rPr>
              <w:t>551</w:t>
            </w:r>
          </w:p>
        </w:tc>
        <w:tc>
          <w:tcPr>
            <w:tcW w:w="940" w:type="pct"/>
            <w:shd w:val="clear" w:color="auto" w:fill="auto"/>
            <w:vAlign w:val="center"/>
          </w:tcPr>
          <w:p w14:paraId="0BD36DD5" w14:textId="77777777" w:rsidR="0046020E" w:rsidRPr="00484AE0" w:rsidRDefault="0046020E" w:rsidP="002A04BE">
            <w:pPr>
              <w:spacing w:after="0"/>
              <w:jc w:val="center"/>
              <w:rPr>
                <w:bCs/>
              </w:rPr>
            </w:pPr>
            <w:r w:rsidRPr="00484AE0">
              <w:rPr>
                <w:bCs/>
              </w:rPr>
              <w:t>200</w:t>
            </w:r>
          </w:p>
        </w:tc>
        <w:tc>
          <w:tcPr>
            <w:tcW w:w="1249" w:type="pct"/>
            <w:shd w:val="clear" w:color="auto" w:fill="auto"/>
            <w:vAlign w:val="center"/>
          </w:tcPr>
          <w:p w14:paraId="49294D5C" w14:textId="77777777" w:rsidR="0046020E" w:rsidRPr="00484AE0" w:rsidRDefault="0046020E" w:rsidP="002A04BE">
            <w:pPr>
              <w:spacing w:after="0"/>
              <w:jc w:val="center"/>
              <w:rPr>
                <w:bCs/>
              </w:rPr>
            </w:pPr>
            <w:r w:rsidRPr="00484AE0">
              <w:rPr>
                <w:bCs/>
              </w:rPr>
              <w:t>140</w:t>
            </w:r>
          </w:p>
        </w:tc>
      </w:tr>
      <w:tr w:rsidR="0046020E" w:rsidRPr="00484AE0" w14:paraId="534B98B4" w14:textId="77777777" w:rsidTr="00397E41">
        <w:trPr>
          <w:trHeight w:val="340"/>
        </w:trPr>
        <w:tc>
          <w:tcPr>
            <w:tcW w:w="1717" w:type="pct"/>
            <w:shd w:val="clear" w:color="auto" w:fill="auto"/>
            <w:vAlign w:val="center"/>
          </w:tcPr>
          <w:p w14:paraId="49C3CD71" w14:textId="77777777" w:rsidR="0046020E" w:rsidRPr="00484AE0" w:rsidRDefault="0046020E" w:rsidP="002A04BE">
            <w:pPr>
              <w:spacing w:after="0"/>
              <w:rPr>
                <w:bCs/>
              </w:rPr>
            </w:pPr>
            <w:r w:rsidRPr="00484AE0">
              <w:rPr>
                <w:bCs/>
              </w:rPr>
              <w:t>Wody przejściowe/przybrzeżne</w:t>
            </w:r>
          </w:p>
        </w:tc>
        <w:tc>
          <w:tcPr>
            <w:tcW w:w="1094" w:type="pct"/>
            <w:shd w:val="clear" w:color="auto" w:fill="auto"/>
            <w:vAlign w:val="center"/>
          </w:tcPr>
          <w:p w14:paraId="77AD5512" w14:textId="77777777" w:rsidR="0046020E" w:rsidRPr="00484AE0" w:rsidRDefault="0046020E" w:rsidP="002A04BE">
            <w:pPr>
              <w:spacing w:after="0"/>
              <w:jc w:val="center"/>
              <w:rPr>
                <w:bCs/>
              </w:rPr>
            </w:pPr>
            <w:r w:rsidRPr="00484AE0">
              <w:rPr>
                <w:bCs/>
              </w:rPr>
              <w:t>19</w:t>
            </w:r>
          </w:p>
        </w:tc>
        <w:tc>
          <w:tcPr>
            <w:tcW w:w="940" w:type="pct"/>
            <w:shd w:val="clear" w:color="auto" w:fill="auto"/>
            <w:vAlign w:val="center"/>
          </w:tcPr>
          <w:p w14:paraId="4FA57864" w14:textId="77777777" w:rsidR="0046020E" w:rsidRPr="00484AE0" w:rsidRDefault="0046020E" w:rsidP="002A04BE">
            <w:pPr>
              <w:spacing w:after="0"/>
              <w:jc w:val="center"/>
              <w:rPr>
                <w:bCs/>
              </w:rPr>
            </w:pPr>
            <w:r w:rsidRPr="00484AE0">
              <w:rPr>
                <w:bCs/>
              </w:rPr>
              <w:t>19</w:t>
            </w:r>
          </w:p>
        </w:tc>
        <w:tc>
          <w:tcPr>
            <w:tcW w:w="1249" w:type="pct"/>
            <w:shd w:val="clear" w:color="auto" w:fill="auto"/>
            <w:vAlign w:val="center"/>
          </w:tcPr>
          <w:p w14:paraId="1A08810D" w14:textId="77777777" w:rsidR="0046020E" w:rsidRPr="00484AE0" w:rsidRDefault="0046020E" w:rsidP="002A04BE">
            <w:pPr>
              <w:spacing w:after="0"/>
              <w:jc w:val="center"/>
              <w:rPr>
                <w:bCs/>
              </w:rPr>
            </w:pPr>
            <w:r w:rsidRPr="00484AE0">
              <w:rPr>
                <w:bCs/>
              </w:rPr>
              <w:t>19</w:t>
            </w:r>
          </w:p>
        </w:tc>
      </w:tr>
      <w:tr w:rsidR="0046020E" w:rsidRPr="00484AE0" w14:paraId="38EFC13D" w14:textId="77777777" w:rsidTr="00397E41">
        <w:trPr>
          <w:trHeight w:val="340"/>
        </w:trPr>
        <w:tc>
          <w:tcPr>
            <w:tcW w:w="1717" w:type="pct"/>
            <w:shd w:val="clear" w:color="auto" w:fill="auto"/>
            <w:vAlign w:val="center"/>
          </w:tcPr>
          <w:p w14:paraId="162E0816" w14:textId="77777777" w:rsidR="0046020E" w:rsidRPr="00484AE0" w:rsidRDefault="0046020E" w:rsidP="002A04BE">
            <w:pPr>
              <w:spacing w:after="0"/>
              <w:rPr>
                <w:bCs/>
              </w:rPr>
            </w:pPr>
            <w:r w:rsidRPr="00484AE0">
              <w:rPr>
                <w:bCs/>
              </w:rPr>
              <w:t>Ogółem</w:t>
            </w:r>
          </w:p>
        </w:tc>
        <w:tc>
          <w:tcPr>
            <w:tcW w:w="1094" w:type="pct"/>
            <w:shd w:val="clear" w:color="auto" w:fill="auto"/>
            <w:vAlign w:val="center"/>
          </w:tcPr>
          <w:p w14:paraId="7EF8ED89" w14:textId="77777777" w:rsidR="0046020E" w:rsidRPr="00484AE0" w:rsidRDefault="0046020E" w:rsidP="002A04BE">
            <w:pPr>
              <w:spacing w:after="0"/>
              <w:jc w:val="center"/>
              <w:rPr>
                <w:bCs/>
              </w:rPr>
            </w:pPr>
            <w:r w:rsidRPr="00484AE0">
              <w:rPr>
                <w:bCs/>
              </w:rPr>
              <w:t>3 954</w:t>
            </w:r>
          </w:p>
        </w:tc>
        <w:tc>
          <w:tcPr>
            <w:tcW w:w="940" w:type="pct"/>
            <w:shd w:val="clear" w:color="auto" w:fill="auto"/>
            <w:vAlign w:val="center"/>
          </w:tcPr>
          <w:p w14:paraId="2EBD8DCB" w14:textId="77777777" w:rsidR="0046020E" w:rsidRPr="00484AE0" w:rsidRDefault="0046020E" w:rsidP="002A04BE">
            <w:pPr>
              <w:spacing w:after="0"/>
              <w:jc w:val="center"/>
              <w:rPr>
                <w:bCs/>
              </w:rPr>
            </w:pPr>
            <w:r w:rsidRPr="00484AE0">
              <w:rPr>
                <w:bCs/>
              </w:rPr>
              <w:t>1340</w:t>
            </w:r>
          </w:p>
        </w:tc>
        <w:tc>
          <w:tcPr>
            <w:tcW w:w="1249" w:type="pct"/>
            <w:shd w:val="clear" w:color="auto" w:fill="auto"/>
            <w:vAlign w:val="center"/>
          </w:tcPr>
          <w:p w14:paraId="38F56350" w14:textId="77777777" w:rsidR="0046020E" w:rsidRPr="00C71FBC" w:rsidRDefault="0046020E" w:rsidP="002A04BE">
            <w:pPr>
              <w:spacing w:after="0"/>
              <w:jc w:val="center"/>
              <w:rPr>
                <w:b/>
              </w:rPr>
            </w:pPr>
            <w:r w:rsidRPr="00C71FBC">
              <w:rPr>
                <w:b/>
              </w:rPr>
              <w:t>992</w:t>
            </w:r>
          </w:p>
        </w:tc>
      </w:tr>
    </w:tbl>
    <w:p w14:paraId="60D51E72" w14:textId="77777777" w:rsidR="0046020E" w:rsidRPr="00484AE0" w:rsidRDefault="0046020E" w:rsidP="002A04BE">
      <w:pPr>
        <w:spacing w:after="0"/>
        <w:rPr>
          <w:bCs/>
        </w:rPr>
      </w:pPr>
    </w:p>
    <w:p w14:paraId="6AFDDAB8" w14:textId="0D7B89D4" w:rsidR="0046020E" w:rsidRPr="00484AE0" w:rsidRDefault="0046020E" w:rsidP="00397E41">
      <w:pPr>
        <w:jc w:val="both"/>
        <w:rPr>
          <w:rFonts w:cs="ArialNarrow"/>
          <w:bCs/>
        </w:rPr>
      </w:pPr>
      <w:r w:rsidRPr="00484AE0">
        <w:rPr>
          <w:rFonts w:cs="ArialNarrow"/>
          <w:bCs/>
        </w:rPr>
        <w:t xml:space="preserve">Jak wskazano w powyższej tabeli, łączna liczba punktów wspólnych, czyli monitorowanych </w:t>
      </w:r>
      <w:r w:rsidR="00B67724">
        <w:rPr>
          <w:rFonts w:cs="ArialNarrow"/>
          <w:bCs/>
        </w:rPr>
        <w:t>w okresie</w:t>
      </w:r>
      <w:r w:rsidRPr="00484AE0">
        <w:rPr>
          <w:rFonts w:cs="ArialNarrow"/>
          <w:bCs/>
        </w:rPr>
        <w:t xml:space="preserve"> 2016-2019 i w roku 2020, wynosi 992. Dalsze analizy i zobrazowania stężeń azotanów w</w:t>
      </w:r>
      <w:r w:rsidR="00C71FBC">
        <w:rPr>
          <w:rFonts w:cs="ArialNarrow"/>
          <w:bCs/>
        </w:rPr>
        <w:t> </w:t>
      </w:r>
      <w:r w:rsidRPr="00484AE0">
        <w:rPr>
          <w:rFonts w:cs="ArialNarrow"/>
          <w:bCs/>
        </w:rPr>
        <w:t xml:space="preserve">wodach powierzchniowych w 2020 r., w tym analizy w zakresie średnich i maksymalnych wartości stężeń oraz kolejno analizy tendencji zmian wartości stężeń średnich i maksymalnych, przeprowadzono w odniesieniu do wspólnych punktów pomiarowych. </w:t>
      </w:r>
    </w:p>
    <w:p w14:paraId="10252C01" w14:textId="77777777" w:rsidR="0046020E" w:rsidRPr="00484AE0" w:rsidRDefault="0046020E" w:rsidP="00397E41">
      <w:pPr>
        <w:pStyle w:val="Akapitzlist"/>
        <w:keepNext/>
        <w:numPr>
          <w:ilvl w:val="2"/>
          <w:numId w:val="21"/>
        </w:numPr>
        <w:ind w:left="1418" w:hanging="567"/>
        <w:rPr>
          <w:rStyle w:val="Wyrnienieintensywne"/>
          <w:rFonts w:asciiTheme="majorHAnsi" w:hAnsiTheme="majorHAnsi"/>
          <w:b w:val="0"/>
          <w:bCs w:val="0"/>
          <w:color w:val="2F5496" w:themeColor="accent1" w:themeShade="BF"/>
        </w:rPr>
      </w:pPr>
      <w:r w:rsidRPr="00484AE0">
        <w:rPr>
          <w:rStyle w:val="Wyrnienieintensywne"/>
          <w:rFonts w:asciiTheme="majorHAnsi" w:hAnsiTheme="majorHAnsi"/>
          <w:b w:val="0"/>
          <w:bCs w:val="0"/>
          <w:color w:val="2F5496" w:themeColor="accent1" w:themeShade="BF"/>
        </w:rPr>
        <w:t xml:space="preserve">Wartości średnie roczne azotanów </w:t>
      </w:r>
      <w:r w:rsidRPr="00397E41">
        <w:rPr>
          <w:rStyle w:val="Wyrnienieintensywne"/>
          <w:rFonts w:asciiTheme="majorHAnsi" w:hAnsiTheme="majorHAnsi"/>
          <w:b w:val="0"/>
          <w:bCs w:val="0"/>
          <w:color w:val="2F5496" w:themeColor="accent1" w:themeShade="BF"/>
        </w:rPr>
        <w:t>w wodach powierzchniowych w 2020 r.</w:t>
      </w:r>
    </w:p>
    <w:p w14:paraId="7D15EC8A" w14:textId="159C980D" w:rsidR="0046020E" w:rsidRPr="00397E41" w:rsidRDefault="0046020E" w:rsidP="00397E41">
      <w:pPr>
        <w:pStyle w:val="Legenda"/>
        <w:spacing w:after="160" w:line="259" w:lineRule="auto"/>
        <w:jc w:val="both"/>
        <w:rPr>
          <w:i w:val="0"/>
          <w:iCs w:val="0"/>
          <w:color w:val="auto"/>
          <w:sz w:val="22"/>
          <w:szCs w:val="22"/>
        </w:rPr>
      </w:pPr>
      <w:bookmarkStart w:id="8" w:name="_Ref46409088"/>
      <w:bookmarkStart w:id="9" w:name="_Toc50978504"/>
      <w:bookmarkStart w:id="10" w:name="_Toc43976501"/>
      <w:r w:rsidRPr="00397E41">
        <w:rPr>
          <w:i w:val="0"/>
          <w:iCs w:val="0"/>
          <w:color w:val="auto"/>
          <w:sz w:val="22"/>
          <w:szCs w:val="22"/>
        </w:rPr>
        <w:t xml:space="preserve">Danych w zakresie stężeń azotanów w roku 2020, dostarczyły wyniki </w:t>
      </w:r>
      <w:r w:rsidR="00B67724">
        <w:rPr>
          <w:i w:val="0"/>
          <w:iCs w:val="0"/>
          <w:color w:val="auto"/>
          <w:sz w:val="22"/>
          <w:szCs w:val="22"/>
        </w:rPr>
        <w:t>PMŚ</w:t>
      </w:r>
      <w:r w:rsidRPr="00397E41">
        <w:rPr>
          <w:i w:val="0"/>
          <w:iCs w:val="0"/>
          <w:color w:val="auto"/>
          <w:sz w:val="22"/>
          <w:szCs w:val="22"/>
        </w:rPr>
        <w:t xml:space="preserve"> zrealizowanego w 2020 r. Wartości średnie oraz średnie zimowe, zostały przeliczone zgodnie z obowiązującą metodyką, która zakłada dla wyniku poniżej granicy oznaczalności, przyjęcie do obliczania średniej arytmetycznej wartości równej połowie tej granicy. Ponadto średnia arytmetyczna została obliczona tylko w przypadku gdy dla danego </w:t>
      </w:r>
      <w:proofErr w:type="spellStart"/>
      <w:r w:rsidRPr="00397E41">
        <w:rPr>
          <w:i w:val="0"/>
          <w:iCs w:val="0"/>
          <w:color w:val="auto"/>
          <w:sz w:val="22"/>
          <w:szCs w:val="22"/>
        </w:rPr>
        <w:t>ppk</w:t>
      </w:r>
      <w:proofErr w:type="spellEnd"/>
      <w:r w:rsidRPr="00397E41">
        <w:rPr>
          <w:i w:val="0"/>
          <w:iCs w:val="0"/>
          <w:color w:val="auto"/>
          <w:sz w:val="22"/>
          <w:szCs w:val="22"/>
        </w:rPr>
        <w:t xml:space="preserve"> dostępne były minimum 4 wartości dla wskaźników fizykochemicznych (4 pobory) w danym roku. Jak wskazano wcześniej, wyniki PMŚ dostarczają wyników w zakresie azotu azotanowego, dlatego też zostały one w</w:t>
      </w:r>
      <w:r w:rsidR="007E28F8">
        <w:rPr>
          <w:i w:val="0"/>
          <w:iCs w:val="0"/>
          <w:color w:val="auto"/>
          <w:sz w:val="22"/>
          <w:szCs w:val="22"/>
        </w:rPr>
        <w:t> </w:t>
      </w:r>
      <w:r w:rsidRPr="00397E41">
        <w:rPr>
          <w:i w:val="0"/>
          <w:iCs w:val="0"/>
          <w:color w:val="auto"/>
          <w:sz w:val="22"/>
          <w:szCs w:val="22"/>
        </w:rPr>
        <w:t>ramach przeprowadzonych prac przeliczone na azotany.</w:t>
      </w:r>
    </w:p>
    <w:p w14:paraId="4D206397" w14:textId="13418795" w:rsidR="0046020E" w:rsidRPr="00397E41" w:rsidRDefault="0046020E" w:rsidP="00397E41">
      <w:pPr>
        <w:pStyle w:val="Legenda"/>
        <w:spacing w:after="160" w:line="259" w:lineRule="auto"/>
        <w:jc w:val="both"/>
        <w:rPr>
          <w:i w:val="0"/>
          <w:iCs w:val="0"/>
          <w:color w:val="auto"/>
          <w:sz w:val="22"/>
          <w:szCs w:val="22"/>
        </w:rPr>
      </w:pPr>
      <w:r w:rsidRPr="00397E41">
        <w:rPr>
          <w:i w:val="0"/>
          <w:iCs w:val="0"/>
          <w:color w:val="auto"/>
          <w:sz w:val="22"/>
          <w:szCs w:val="22"/>
        </w:rPr>
        <w:lastRenderedPageBreak/>
        <w:t>W poniższych tabelach przedstawiono dane dotyczące przedziałów średnich stężeń azotanów w</w:t>
      </w:r>
      <w:r w:rsidR="00C23A83">
        <w:rPr>
          <w:i w:val="0"/>
          <w:iCs w:val="0"/>
          <w:color w:val="auto"/>
          <w:sz w:val="22"/>
          <w:szCs w:val="22"/>
        </w:rPr>
        <w:t> </w:t>
      </w:r>
      <w:r w:rsidRPr="00397E41">
        <w:rPr>
          <w:i w:val="0"/>
          <w:iCs w:val="0"/>
          <w:color w:val="auto"/>
          <w:sz w:val="22"/>
          <w:szCs w:val="22"/>
        </w:rPr>
        <w:t xml:space="preserve">wodach powierzchniowych (w podziale na poszczególne kategorie wód) w roku 2020. </w:t>
      </w:r>
      <w:r w:rsidRPr="00397E41">
        <w:rPr>
          <w:rFonts w:cs="ArialNarrow"/>
          <w:i w:val="0"/>
          <w:iCs w:val="0"/>
          <w:color w:val="auto"/>
          <w:sz w:val="22"/>
        </w:rPr>
        <w:t>Szczegółową charakterystykę punktów pomiarowo-kontrolnych uwzględnionych w analizie oraz wyniki stężeń azotanów w wodach powierzchniowych przedstawiono w Załączniku 1.</w:t>
      </w:r>
    </w:p>
    <w:bookmarkEnd w:id="8"/>
    <w:bookmarkEnd w:id="9"/>
    <w:bookmarkEnd w:id="10"/>
    <w:p w14:paraId="12352E1D" w14:textId="77777777" w:rsidR="0046020E" w:rsidRPr="00397E41" w:rsidRDefault="0046020E" w:rsidP="00397E41">
      <w:pPr>
        <w:pStyle w:val="Legenda"/>
        <w:spacing w:before="120" w:after="0" w:line="259" w:lineRule="auto"/>
        <w:jc w:val="both"/>
        <w:rPr>
          <w:i w:val="0"/>
          <w:iCs w:val="0"/>
          <w:color w:val="2F5496" w:themeColor="accent1" w:themeShade="BF"/>
          <w:sz w:val="20"/>
          <w:szCs w:val="20"/>
        </w:rPr>
      </w:pPr>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005F7C9B">
        <w:rPr>
          <w:i w:val="0"/>
          <w:iCs w:val="0"/>
          <w:noProof/>
          <w:color w:val="2F5496" w:themeColor="accent1" w:themeShade="BF"/>
          <w:sz w:val="20"/>
          <w:szCs w:val="20"/>
        </w:rPr>
        <w:t>2</w:t>
      </w:r>
      <w:r w:rsidRPr="00397E41">
        <w:rPr>
          <w:i w:val="0"/>
          <w:iCs w:val="0"/>
          <w:color w:val="2F5496" w:themeColor="accent1" w:themeShade="BF"/>
          <w:sz w:val="20"/>
          <w:szCs w:val="20"/>
        </w:rPr>
        <w:fldChar w:fldCharType="end"/>
      </w:r>
      <w:r w:rsidRPr="00397E41">
        <w:rPr>
          <w:i w:val="0"/>
          <w:iCs w:val="0"/>
          <w:color w:val="2F5496" w:themeColor="accent1" w:themeShade="BF"/>
          <w:sz w:val="20"/>
          <w:szCs w:val="20"/>
        </w:rPr>
        <w:t>. Przedziały stężeń azotanów (mg NO</w:t>
      </w:r>
      <w:r w:rsidRPr="00B64C25">
        <w:rPr>
          <w:i w:val="0"/>
          <w:iCs w:val="0"/>
          <w:color w:val="2F5496" w:themeColor="accent1" w:themeShade="BF"/>
          <w:sz w:val="20"/>
          <w:szCs w:val="20"/>
          <w:vertAlign w:val="subscript"/>
        </w:rPr>
        <w:t>3</w:t>
      </w:r>
      <w:r w:rsidRPr="00397E41">
        <w:rPr>
          <w:i w:val="0"/>
          <w:iCs w:val="0"/>
          <w:color w:val="2F5496" w:themeColor="accent1" w:themeShade="BF"/>
          <w:sz w:val="20"/>
          <w:szCs w:val="20"/>
        </w:rPr>
        <w:t xml:space="preserve">/l) w rzekach i jeziorach (% </w:t>
      </w:r>
      <w:proofErr w:type="spellStart"/>
      <w:r w:rsidRPr="00397E41">
        <w:rPr>
          <w:i w:val="0"/>
          <w:iCs w:val="0"/>
          <w:color w:val="2F5496" w:themeColor="accent1" w:themeShade="BF"/>
          <w:sz w:val="20"/>
          <w:szCs w:val="20"/>
        </w:rPr>
        <w:t>ppk</w:t>
      </w:r>
      <w:proofErr w:type="spellEnd"/>
      <w:r w:rsidRPr="00397E41">
        <w:rPr>
          <w:i w:val="0"/>
          <w:iCs w:val="0"/>
          <w:color w:val="2F5496" w:themeColor="accent1" w:themeShade="BF"/>
          <w:sz w:val="20"/>
          <w:szCs w:val="20"/>
        </w:rPr>
        <w:t>) w 2020 roku</w:t>
      </w: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6"/>
        <w:gridCol w:w="1013"/>
        <w:gridCol w:w="1013"/>
        <w:gridCol w:w="1013"/>
        <w:gridCol w:w="1013"/>
        <w:gridCol w:w="1013"/>
        <w:gridCol w:w="1013"/>
      </w:tblGrid>
      <w:tr w:rsidR="0046020E" w:rsidRPr="00484AE0" w14:paraId="4196E069" w14:textId="77777777" w:rsidTr="00160BD4">
        <w:trPr>
          <w:trHeight w:val="238"/>
          <w:tblHeader/>
        </w:trPr>
        <w:tc>
          <w:tcPr>
            <w:tcW w:w="2986" w:type="dxa"/>
            <w:vMerge w:val="restart"/>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1D36B6ED" w14:textId="3E5D6F96" w:rsidR="0046020E" w:rsidRPr="00484AE0" w:rsidRDefault="00201ED2" w:rsidP="002A04BE">
            <w:pPr>
              <w:spacing w:after="0"/>
              <w:jc w:val="center"/>
              <w:rPr>
                <w:rFonts w:cstheme="minorHAnsi"/>
                <w:color w:val="FFFFFF" w:themeColor="background1"/>
              </w:rPr>
            </w:pPr>
            <w:r>
              <w:rPr>
                <w:rFonts w:cstheme="minorHAnsi"/>
                <w:color w:val="FFFFFF" w:themeColor="background1"/>
              </w:rPr>
              <w:t>Stężenia ś</w:t>
            </w:r>
            <w:r w:rsidR="0046020E" w:rsidRPr="00484AE0">
              <w:rPr>
                <w:rFonts w:cstheme="minorHAnsi"/>
                <w:color w:val="FFFFFF" w:themeColor="background1"/>
              </w:rPr>
              <w:t>rednie/ maksymalne dla kategorii wód</w:t>
            </w:r>
          </w:p>
        </w:tc>
        <w:tc>
          <w:tcPr>
            <w:tcW w:w="6078" w:type="dxa"/>
            <w:gridSpan w:val="6"/>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571451E7" w14:textId="7D82D315" w:rsidR="0046020E" w:rsidRPr="00484AE0" w:rsidRDefault="0046020E" w:rsidP="002A04BE">
            <w:pPr>
              <w:spacing w:after="0"/>
              <w:jc w:val="center"/>
              <w:rPr>
                <w:color w:val="FFFFFF" w:themeColor="background1"/>
                <w:szCs w:val="20"/>
              </w:rPr>
            </w:pPr>
            <w:r w:rsidRPr="00484AE0">
              <w:rPr>
                <w:color w:val="FFFFFF" w:themeColor="background1"/>
                <w:szCs w:val="20"/>
              </w:rPr>
              <w:t>% punktów o stężeniach azotanów [mg NO</w:t>
            </w:r>
            <w:r w:rsidRPr="00484AE0">
              <w:rPr>
                <w:color w:val="FFFFFF" w:themeColor="background1"/>
                <w:szCs w:val="20"/>
                <w:vertAlign w:val="subscript"/>
              </w:rPr>
              <w:t>3</w:t>
            </w:r>
            <w:r w:rsidRPr="00484AE0">
              <w:rPr>
                <w:color w:val="FFFFFF" w:themeColor="background1"/>
                <w:szCs w:val="20"/>
              </w:rPr>
              <w:t>/l] w przedziale</w:t>
            </w:r>
          </w:p>
        </w:tc>
      </w:tr>
      <w:tr w:rsidR="0046020E" w:rsidRPr="00484AE0" w14:paraId="7F5A4228" w14:textId="77777777" w:rsidTr="00160BD4">
        <w:trPr>
          <w:trHeight w:val="340"/>
          <w:tblHeader/>
        </w:trPr>
        <w:tc>
          <w:tcPr>
            <w:tcW w:w="2986" w:type="dxa"/>
            <w:vMerge/>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542BFFA6" w14:textId="77777777" w:rsidR="0046020E" w:rsidRPr="00484AE0" w:rsidRDefault="0046020E" w:rsidP="002A04BE">
            <w:pPr>
              <w:spacing w:after="0"/>
              <w:rPr>
                <w:rFonts w:ascii="Garamond" w:hAnsi="Garamond"/>
                <w:color w:val="FFFFFF" w:themeColor="background1"/>
              </w:rPr>
            </w:pP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36FB6589"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0-1,99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657317A0"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2-9,99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0B5E53AF"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10-24,99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3CBD0C08"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25-39,99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3B83763C"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40-49,99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3D5BA1C8"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≥50</w:t>
            </w:r>
          </w:p>
        </w:tc>
      </w:tr>
      <w:tr w:rsidR="0046020E" w:rsidRPr="00484AE0" w14:paraId="4C792348"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44A8E3D4" w14:textId="77777777" w:rsidR="0046020E" w:rsidRPr="00484AE0" w:rsidRDefault="0046020E" w:rsidP="002A04BE">
            <w:pPr>
              <w:spacing w:after="0"/>
              <w:rPr>
                <w:rFonts w:cstheme="minorHAnsi"/>
                <w:szCs w:val="16"/>
              </w:rPr>
            </w:pPr>
            <w:r w:rsidRPr="00484AE0">
              <w:rPr>
                <w:rFonts w:cstheme="minorHAnsi"/>
                <w:szCs w:val="16"/>
              </w:rPr>
              <w:t>Średnia roczna rzek</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391A0E"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17,05</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A93CFE"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59,06</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A958EB3"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20,65</w:t>
            </w:r>
          </w:p>
        </w:tc>
        <w:tc>
          <w:tcPr>
            <w:tcW w:w="1013" w:type="dxa"/>
            <w:tcBorders>
              <w:top w:val="single" w:sz="6" w:space="0" w:color="000000"/>
              <w:left w:val="single" w:sz="6" w:space="0" w:color="000000"/>
              <w:bottom w:val="single" w:sz="6" w:space="0" w:color="000000"/>
              <w:right w:val="single" w:sz="6" w:space="0" w:color="000000"/>
            </w:tcBorders>
            <w:vAlign w:val="bottom"/>
          </w:tcPr>
          <w:p w14:paraId="06904C3C"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2,76</w:t>
            </w:r>
          </w:p>
        </w:tc>
        <w:tc>
          <w:tcPr>
            <w:tcW w:w="1013" w:type="dxa"/>
            <w:tcBorders>
              <w:top w:val="single" w:sz="6" w:space="0" w:color="000000"/>
              <w:left w:val="single" w:sz="6" w:space="0" w:color="000000"/>
              <w:bottom w:val="single" w:sz="6" w:space="0" w:color="000000"/>
              <w:right w:val="single" w:sz="6" w:space="0" w:color="000000"/>
            </w:tcBorders>
            <w:vAlign w:val="bottom"/>
          </w:tcPr>
          <w:p w14:paraId="68C96027"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0,24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07AA784"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0,24</w:t>
            </w:r>
          </w:p>
        </w:tc>
      </w:tr>
      <w:tr w:rsidR="0046020E" w:rsidRPr="00484AE0" w14:paraId="6DA90C18"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5E4B6110" w14:textId="77777777" w:rsidR="0046020E" w:rsidRPr="00484AE0" w:rsidRDefault="0046020E" w:rsidP="002A04BE">
            <w:pPr>
              <w:spacing w:after="0"/>
              <w:rPr>
                <w:rFonts w:cstheme="minorHAnsi"/>
                <w:szCs w:val="16"/>
              </w:rPr>
            </w:pPr>
            <w:r w:rsidRPr="00484AE0">
              <w:rPr>
                <w:rFonts w:cstheme="minorHAnsi"/>
                <w:szCs w:val="16"/>
              </w:rPr>
              <w:t>Średnia zimowa rzek</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CD78FD6"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11,88</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4B5C33C"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53,47</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C0F9B0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28,59</w:t>
            </w:r>
          </w:p>
        </w:tc>
        <w:tc>
          <w:tcPr>
            <w:tcW w:w="1013" w:type="dxa"/>
            <w:tcBorders>
              <w:top w:val="single" w:sz="6" w:space="0" w:color="000000"/>
              <w:left w:val="single" w:sz="6" w:space="0" w:color="000000"/>
              <w:bottom w:val="single" w:sz="6" w:space="0" w:color="000000"/>
              <w:right w:val="single" w:sz="6" w:space="0" w:color="000000"/>
            </w:tcBorders>
            <w:vAlign w:val="bottom"/>
          </w:tcPr>
          <w:p w14:paraId="4DBA56C5"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3,71</w:t>
            </w:r>
          </w:p>
        </w:tc>
        <w:tc>
          <w:tcPr>
            <w:tcW w:w="1013" w:type="dxa"/>
            <w:tcBorders>
              <w:top w:val="single" w:sz="6" w:space="0" w:color="000000"/>
              <w:left w:val="single" w:sz="6" w:space="0" w:color="000000"/>
              <w:bottom w:val="single" w:sz="6" w:space="0" w:color="000000"/>
              <w:right w:val="single" w:sz="6" w:space="0" w:color="000000"/>
            </w:tcBorders>
            <w:vAlign w:val="bottom"/>
          </w:tcPr>
          <w:p w14:paraId="009FA281"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1,24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729E7AA"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1,11</w:t>
            </w:r>
          </w:p>
        </w:tc>
      </w:tr>
      <w:tr w:rsidR="0046020E" w:rsidRPr="00484AE0" w14:paraId="5758C6AF"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0941E7ED" w14:textId="77777777" w:rsidR="0046020E" w:rsidRPr="00484AE0" w:rsidRDefault="0046020E" w:rsidP="002A04BE">
            <w:pPr>
              <w:spacing w:after="0"/>
              <w:rPr>
                <w:rFonts w:cstheme="minorHAnsi"/>
                <w:szCs w:val="16"/>
              </w:rPr>
            </w:pPr>
            <w:r w:rsidRPr="00484AE0">
              <w:rPr>
                <w:rFonts w:cstheme="minorHAnsi"/>
                <w:szCs w:val="16"/>
              </w:rPr>
              <w:t>Rzeki wartość maksymalna</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06B19E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6,24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7CCC213"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39,62</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3E3DFA"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35,89</w:t>
            </w:r>
          </w:p>
        </w:tc>
        <w:tc>
          <w:tcPr>
            <w:tcW w:w="1013" w:type="dxa"/>
            <w:tcBorders>
              <w:top w:val="single" w:sz="6" w:space="0" w:color="000000"/>
              <w:left w:val="single" w:sz="6" w:space="0" w:color="000000"/>
              <w:bottom w:val="single" w:sz="6" w:space="0" w:color="000000"/>
              <w:right w:val="single" w:sz="6" w:space="0" w:color="000000"/>
            </w:tcBorders>
            <w:vAlign w:val="bottom"/>
          </w:tcPr>
          <w:p w14:paraId="2FDC68F4"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8,52</w:t>
            </w:r>
          </w:p>
        </w:tc>
        <w:tc>
          <w:tcPr>
            <w:tcW w:w="1013" w:type="dxa"/>
            <w:tcBorders>
              <w:top w:val="single" w:sz="6" w:space="0" w:color="000000"/>
              <w:left w:val="single" w:sz="6" w:space="0" w:color="000000"/>
              <w:bottom w:val="single" w:sz="6" w:space="0" w:color="000000"/>
              <w:right w:val="single" w:sz="6" w:space="0" w:color="000000"/>
            </w:tcBorders>
            <w:vAlign w:val="bottom"/>
          </w:tcPr>
          <w:p w14:paraId="35B316E8"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3,84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8299F3"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5,88</w:t>
            </w:r>
          </w:p>
        </w:tc>
      </w:tr>
      <w:tr w:rsidR="0046020E" w:rsidRPr="00484AE0" w14:paraId="0845CE08"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03CB0563" w14:textId="77777777" w:rsidR="0046020E" w:rsidRPr="00484AE0" w:rsidRDefault="0046020E" w:rsidP="002A04BE">
            <w:pPr>
              <w:spacing w:after="0"/>
              <w:rPr>
                <w:rFonts w:cstheme="minorHAnsi"/>
                <w:szCs w:val="16"/>
              </w:rPr>
            </w:pPr>
            <w:r w:rsidRPr="00484AE0">
              <w:rPr>
                <w:rFonts w:cstheme="minorHAnsi"/>
                <w:szCs w:val="16"/>
              </w:rPr>
              <w:t>Średnia roczna jezior</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E9A6A54"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91,43</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4EDD74F"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7,86</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AD6B"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0,71</w:t>
            </w:r>
          </w:p>
        </w:tc>
        <w:tc>
          <w:tcPr>
            <w:tcW w:w="1013" w:type="dxa"/>
            <w:tcBorders>
              <w:top w:val="single" w:sz="6" w:space="0" w:color="000000"/>
              <w:left w:val="single" w:sz="6" w:space="0" w:color="000000"/>
              <w:bottom w:val="single" w:sz="6" w:space="0" w:color="000000"/>
              <w:right w:val="single" w:sz="6" w:space="0" w:color="000000"/>
            </w:tcBorders>
            <w:vAlign w:val="bottom"/>
          </w:tcPr>
          <w:p w14:paraId="182EB2CC"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528DF62E"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B2A13C9"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3062CCE2"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78FDAB5F" w14:textId="77777777" w:rsidR="0046020E" w:rsidRPr="00484AE0" w:rsidRDefault="0046020E" w:rsidP="002A04BE">
            <w:pPr>
              <w:spacing w:after="0"/>
              <w:rPr>
                <w:rFonts w:cstheme="minorHAnsi"/>
                <w:szCs w:val="16"/>
              </w:rPr>
            </w:pPr>
            <w:r w:rsidRPr="00484AE0">
              <w:rPr>
                <w:rFonts w:cstheme="minorHAnsi"/>
                <w:szCs w:val="16"/>
              </w:rPr>
              <w:t>Średnia zimowa jezior</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A44AA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88,57</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CFEAB6"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E6C3B5B"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1,43</w:t>
            </w:r>
          </w:p>
        </w:tc>
        <w:tc>
          <w:tcPr>
            <w:tcW w:w="1013" w:type="dxa"/>
            <w:tcBorders>
              <w:top w:val="single" w:sz="6" w:space="0" w:color="000000"/>
              <w:left w:val="single" w:sz="6" w:space="0" w:color="000000"/>
              <w:bottom w:val="single" w:sz="6" w:space="0" w:color="000000"/>
              <w:right w:val="single" w:sz="6" w:space="0" w:color="000000"/>
            </w:tcBorders>
            <w:vAlign w:val="bottom"/>
          </w:tcPr>
          <w:p w14:paraId="792DF9D5"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73D6502B"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FCE821F"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1335C554"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595ACA0D" w14:textId="77777777" w:rsidR="0046020E" w:rsidRPr="00484AE0" w:rsidRDefault="0046020E" w:rsidP="002A04BE">
            <w:pPr>
              <w:spacing w:after="0"/>
              <w:rPr>
                <w:rFonts w:cstheme="minorHAnsi"/>
                <w:szCs w:val="16"/>
              </w:rPr>
            </w:pPr>
            <w:r w:rsidRPr="00484AE0">
              <w:rPr>
                <w:rFonts w:cstheme="minorHAnsi"/>
                <w:szCs w:val="16"/>
              </w:rPr>
              <w:t>Jeziora wartość maksymalna</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06274C"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75,00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61E4888"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22,14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D14C8B"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2,14</w:t>
            </w:r>
          </w:p>
        </w:tc>
        <w:tc>
          <w:tcPr>
            <w:tcW w:w="1013" w:type="dxa"/>
            <w:tcBorders>
              <w:top w:val="single" w:sz="6" w:space="0" w:color="000000"/>
              <w:left w:val="single" w:sz="6" w:space="0" w:color="000000"/>
              <w:bottom w:val="single" w:sz="6" w:space="0" w:color="000000"/>
              <w:right w:val="single" w:sz="6" w:space="0" w:color="000000"/>
            </w:tcBorders>
            <w:vAlign w:val="bottom"/>
          </w:tcPr>
          <w:p w14:paraId="427240BF"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0,71</w:t>
            </w:r>
          </w:p>
        </w:tc>
        <w:tc>
          <w:tcPr>
            <w:tcW w:w="1013" w:type="dxa"/>
            <w:tcBorders>
              <w:top w:val="single" w:sz="6" w:space="0" w:color="000000"/>
              <w:left w:val="single" w:sz="6" w:space="0" w:color="000000"/>
              <w:bottom w:val="single" w:sz="6" w:space="0" w:color="000000"/>
              <w:right w:val="single" w:sz="6" w:space="0" w:color="000000"/>
            </w:tcBorders>
            <w:vAlign w:val="bottom"/>
          </w:tcPr>
          <w:p w14:paraId="342AA778"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677664"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bl>
    <w:p w14:paraId="79147A98" w14:textId="77777777" w:rsidR="0046020E" w:rsidRPr="00484AE0" w:rsidRDefault="0046020E" w:rsidP="002A04BE">
      <w:pPr>
        <w:spacing w:after="0"/>
      </w:pPr>
      <w:bookmarkStart w:id="11" w:name="_Hlk49943624"/>
    </w:p>
    <w:p w14:paraId="21B016E0" w14:textId="77777777" w:rsidR="0046020E" w:rsidRPr="00484AE0" w:rsidRDefault="0046020E" w:rsidP="00397E41">
      <w:pPr>
        <w:spacing w:after="0"/>
        <w:jc w:val="both"/>
      </w:pPr>
      <w:r w:rsidRPr="00484AE0">
        <w:t>W 2020 r. średnie stężenia azotanów mniejsze niż 25 mg NO</w:t>
      </w:r>
      <w:r w:rsidRPr="00484AE0">
        <w:rPr>
          <w:vertAlign w:val="subscript"/>
        </w:rPr>
        <w:t>3</w:t>
      </w:r>
      <w:r w:rsidRPr="00484AE0">
        <w:t>/l odnotowano w 96,76% punktów pomiarowo-kontrolnych JCWP rzecznych. Wartość maksymalna roczna stężenia azotanów w rzekach przekroczyła 50 mg NO</w:t>
      </w:r>
      <w:r w:rsidRPr="00484AE0">
        <w:rPr>
          <w:vertAlign w:val="subscript"/>
        </w:rPr>
        <w:t>3</w:t>
      </w:r>
      <w:r w:rsidRPr="00484AE0">
        <w:t xml:space="preserve">/l jedynie w 5,88% </w:t>
      </w:r>
      <w:proofErr w:type="spellStart"/>
      <w:r w:rsidRPr="00484AE0">
        <w:t>ppk</w:t>
      </w:r>
      <w:proofErr w:type="spellEnd"/>
      <w:r w:rsidRPr="00484AE0">
        <w:t>. W zdecydowanej większości punktów (59,06%), średnie stężenie azotanów w 2020 r. zawierało się w przedziale 2-9,99 mg NO</w:t>
      </w:r>
      <w:r w:rsidRPr="00484AE0">
        <w:rPr>
          <w:vertAlign w:val="subscript"/>
        </w:rPr>
        <w:t>3</w:t>
      </w:r>
      <w:r w:rsidRPr="00484AE0">
        <w:t>/l.</w:t>
      </w:r>
    </w:p>
    <w:p w14:paraId="7B6A5A60" w14:textId="3A155E80" w:rsidR="0046020E" w:rsidRPr="00484AE0" w:rsidRDefault="0046020E" w:rsidP="00397E41">
      <w:pPr>
        <w:spacing w:after="0"/>
        <w:jc w:val="both"/>
      </w:pPr>
      <w:r w:rsidRPr="00484AE0">
        <w:t>Powyższe wskazuje na poprawę jakości wód płynących w 2020 r. w porównaniu do okresu sprawozdawczego 2016-2019, w którym wartości maksymalne przekroczyły 50 mg NO</w:t>
      </w:r>
      <w:r w:rsidRPr="00484AE0">
        <w:rPr>
          <w:vertAlign w:val="subscript"/>
        </w:rPr>
        <w:t>3</w:t>
      </w:r>
      <w:r w:rsidRPr="00484AE0">
        <w:t>/l w 10,0% punktów monitoringowych JCWP rzecznych, a średnie stężenia azotanów mniejsze niż 25 mg NO</w:t>
      </w:r>
      <w:r w:rsidRPr="00484AE0">
        <w:rPr>
          <w:vertAlign w:val="subscript"/>
        </w:rPr>
        <w:t>3</w:t>
      </w:r>
      <w:r w:rsidRPr="00484AE0">
        <w:t>/l odnotowano w 92,68% punktów pomiarowo-kontrolnych.</w:t>
      </w:r>
      <w:r w:rsidR="00EF7321">
        <w:rPr>
          <w:rStyle w:val="Odwoanieprzypisudolnego"/>
        </w:rPr>
        <w:footnoteReference w:id="3"/>
      </w:r>
    </w:p>
    <w:p w14:paraId="3A1A0E42" w14:textId="59D2DF4F" w:rsidR="0046020E" w:rsidRPr="00484AE0" w:rsidRDefault="0046020E" w:rsidP="00397E41">
      <w:pPr>
        <w:jc w:val="both"/>
      </w:pPr>
      <w:r w:rsidRPr="00484AE0">
        <w:t>W 2020 r. średnie stężenia azotanów mniejsze niż 25 mg NO</w:t>
      </w:r>
      <w:r w:rsidRPr="00484AE0">
        <w:rPr>
          <w:vertAlign w:val="subscript"/>
        </w:rPr>
        <w:t>3</w:t>
      </w:r>
      <w:r w:rsidRPr="00484AE0">
        <w:t>/l odnotowano w 100% punktów pomiarowo-kontrolnych JCWP jeziornych. W zdecydowanej większości punktów (91,43%), średnie stężenie azotanów w 2020 r. zawierało się w przedziale 0-1,99 mg NO</w:t>
      </w:r>
      <w:r w:rsidRPr="00484AE0">
        <w:rPr>
          <w:vertAlign w:val="subscript"/>
        </w:rPr>
        <w:t>3</w:t>
      </w:r>
      <w:r w:rsidRPr="00484AE0">
        <w:t>/l. W odniesieniu do JCWP jeziornych, również obserwuje się nieznaczną poprawę jakości wód w 2020 r. w porównaniu do okresu sprawozdawczego 2016-2019, w którym średnie stężenia azotanów mniejsze niż 25 mg NO</w:t>
      </w:r>
      <w:r w:rsidRPr="00484AE0">
        <w:rPr>
          <w:vertAlign w:val="subscript"/>
        </w:rPr>
        <w:t>3</w:t>
      </w:r>
      <w:r w:rsidRPr="00484AE0">
        <w:t xml:space="preserve">/l odnotowano w 99,29% punktów pomiarowo-kontrolnych, a dla 75% </w:t>
      </w:r>
      <w:proofErr w:type="spellStart"/>
      <w:r w:rsidRPr="00484AE0">
        <w:t>ppk</w:t>
      </w:r>
      <w:proofErr w:type="spellEnd"/>
      <w:r w:rsidRPr="00484AE0">
        <w:t xml:space="preserve"> średnie stężenie azotanów zawierało się w przedziale 0-1,99 mg NO</w:t>
      </w:r>
      <w:r w:rsidRPr="00484AE0">
        <w:rPr>
          <w:vertAlign w:val="subscript"/>
        </w:rPr>
        <w:t>3</w:t>
      </w:r>
      <w:r w:rsidRPr="00484AE0">
        <w:t>/l.</w:t>
      </w:r>
      <w:r w:rsidR="00D81910">
        <w:rPr>
          <w:rStyle w:val="Odwoanieprzypisudolnego"/>
        </w:rPr>
        <w:footnoteReference w:id="4"/>
      </w:r>
    </w:p>
    <w:p w14:paraId="14A1DDB6" w14:textId="77777777" w:rsidR="0046020E" w:rsidRPr="00484AE0" w:rsidRDefault="0046020E" w:rsidP="00397E41">
      <w:r w:rsidRPr="00484AE0">
        <w:t>W poniższej tabeli przedstawiono dane dotyczące przedziałów średnich stężeń azotanów w wodach przejściowych i przybrzeżnych w 2020 roku.</w:t>
      </w:r>
    </w:p>
    <w:p w14:paraId="20C33987" w14:textId="77777777" w:rsidR="0046020E" w:rsidRPr="00397E41" w:rsidRDefault="0046020E" w:rsidP="00397E41">
      <w:pPr>
        <w:pStyle w:val="Legenda"/>
        <w:spacing w:before="120" w:after="0" w:line="259" w:lineRule="auto"/>
        <w:jc w:val="both"/>
        <w:rPr>
          <w:i w:val="0"/>
          <w:iCs w:val="0"/>
          <w:color w:val="2F5496" w:themeColor="accent1" w:themeShade="BF"/>
          <w:sz w:val="20"/>
          <w:szCs w:val="20"/>
        </w:rPr>
      </w:pPr>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Pr="00397E41">
        <w:rPr>
          <w:i w:val="0"/>
          <w:iCs w:val="0"/>
          <w:color w:val="2F5496" w:themeColor="accent1" w:themeShade="BF"/>
          <w:sz w:val="20"/>
          <w:szCs w:val="20"/>
        </w:rPr>
        <w:t>3</w:t>
      </w:r>
      <w:r w:rsidRPr="00397E41">
        <w:rPr>
          <w:i w:val="0"/>
          <w:iCs w:val="0"/>
          <w:color w:val="2F5496" w:themeColor="accent1" w:themeShade="BF"/>
          <w:sz w:val="20"/>
          <w:szCs w:val="20"/>
        </w:rPr>
        <w:fldChar w:fldCharType="end"/>
      </w:r>
      <w:r w:rsidRPr="00397E41">
        <w:rPr>
          <w:i w:val="0"/>
          <w:iCs w:val="0"/>
          <w:color w:val="2F5496" w:themeColor="accent1" w:themeShade="BF"/>
          <w:sz w:val="20"/>
          <w:szCs w:val="20"/>
        </w:rPr>
        <w:t>. Przedziały stężeń azotanów (mg NO</w:t>
      </w:r>
      <w:r w:rsidRPr="00B206A6">
        <w:rPr>
          <w:i w:val="0"/>
          <w:iCs w:val="0"/>
          <w:color w:val="2F5496" w:themeColor="accent1" w:themeShade="BF"/>
          <w:sz w:val="20"/>
          <w:szCs w:val="20"/>
          <w:vertAlign w:val="subscript"/>
        </w:rPr>
        <w:t>3</w:t>
      </w:r>
      <w:r w:rsidRPr="00397E41">
        <w:rPr>
          <w:i w:val="0"/>
          <w:iCs w:val="0"/>
          <w:color w:val="2F5496" w:themeColor="accent1" w:themeShade="BF"/>
          <w:sz w:val="20"/>
          <w:szCs w:val="20"/>
        </w:rPr>
        <w:t xml:space="preserve">/l) w wodach przejściowych i przybrzeżnych (% </w:t>
      </w:r>
      <w:proofErr w:type="spellStart"/>
      <w:r w:rsidRPr="00397E41">
        <w:rPr>
          <w:i w:val="0"/>
          <w:iCs w:val="0"/>
          <w:color w:val="2F5496" w:themeColor="accent1" w:themeShade="BF"/>
          <w:sz w:val="20"/>
          <w:szCs w:val="20"/>
        </w:rPr>
        <w:t>ppk</w:t>
      </w:r>
      <w:proofErr w:type="spellEnd"/>
      <w:r w:rsidRPr="00397E41">
        <w:rPr>
          <w:i w:val="0"/>
          <w:iCs w:val="0"/>
          <w:color w:val="2F5496" w:themeColor="accent1" w:themeShade="BF"/>
          <w:sz w:val="20"/>
          <w:szCs w:val="20"/>
        </w:rPr>
        <w:t>) w 2020 roku</w:t>
      </w: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6"/>
        <w:gridCol w:w="1013"/>
        <w:gridCol w:w="1013"/>
        <w:gridCol w:w="1013"/>
        <w:gridCol w:w="1013"/>
        <w:gridCol w:w="1013"/>
        <w:gridCol w:w="1013"/>
      </w:tblGrid>
      <w:tr w:rsidR="0046020E" w:rsidRPr="00484AE0" w14:paraId="7A3A6008" w14:textId="77777777" w:rsidTr="00160BD4">
        <w:trPr>
          <w:trHeight w:val="238"/>
          <w:tblHeader/>
        </w:trPr>
        <w:tc>
          <w:tcPr>
            <w:tcW w:w="2986" w:type="dxa"/>
            <w:vMerge w:val="restart"/>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7C82C289" w14:textId="486509CF" w:rsidR="0046020E" w:rsidRPr="00484AE0" w:rsidRDefault="00B64C25" w:rsidP="002A04BE">
            <w:pPr>
              <w:spacing w:after="0"/>
              <w:jc w:val="center"/>
              <w:rPr>
                <w:rFonts w:ascii="Garamond" w:hAnsi="Garamond"/>
                <w:color w:val="FFFFFF" w:themeColor="background1"/>
              </w:rPr>
            </w:pPr>
            <w:r>
              <w:rPr>
                <w:rFonts w:cstheme="minorHAnsi"/>
                <w:color w:val="FFFFFF" w:themeColor="background1"/>
              </w:rPr>
              <w:t>Stężenia ś</w:t>
            </w:r>
            <w:r w:rsidRPr="00484AE0">
              <w:rPr>
                <w:rFonts w:cstheme="minorHAnsi"/>
                <w:color w:val="FFFFFF" w:themeColor="background1"/>
              </w:rPr>
              <w:t>rednie/ maksymalne dla kategorii wód</w:t>
            </w:r>
          </w:p>
        </w:tc>
        <w:tc>
          <w:tcPr>
            <w:tcW w:w="6078" w:type="dxa"/>
            <w:gridSpan w:val="6"/>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3F6E0173" w14:textId="1EE8B575" w:rsidR="0046020E" w:rsidRPr="00484AE0" w:rsidRDefault="0046020E" w:rsidP="002A04BE">
            <w:pPr>
              <w:spacing w:after="0"/>
              <w:jc w:val="center"/>
              <w:rPr>
                <w:color w:val="FFFFFF" w:themeColor="background1"/>
                <w:szCs w:val="20"/>
              </w:rPr>
            </w:pPr>
            <w:r w:rsidRPr="00484AE0">
              <w:rPr>
                <w:color w:val="FFFFFF" w:themeColor="background1"/>
                <w:szCs w:val="20"/>
              </w:rPr>
              <w:t>% punktów o stężeniach azotanów [mg NO</w:t>
            </w:r>
            <w:r w:rsidRPr="00484AE0">
              <w:rPr>
                <w:color w:val="FFFFFF" w:themeColor="background1"/>
                <w:szCs w:val="20"/>
                <w:vertAlign w:val="subscript"/>
              </w:rPr>
              <w:t>3</w:t>
            </w:r>
            <w:r w:rsidRPr="00484AE0">
              <w:rPr>
                <w:color w:val="FFFFFF" w:themeColor="background1"/>
                <w:szCs w:val="20"/>
              </w:rPr>
              <w:t>/l] w przedziale</w:t>
            </w:r>
          </w:p>
        </w:tc>
      </w:tr>
      <w:tr w:rsidR="0046020E" w:rsidRPr="00484AE0" w14:paraId="749B0C3C" w14:textId="77777777" w:rsidTr="00160BD4">
        <w:trPr>
          <w:trHeight w:val="340"/>
          <w:tblHeader/>
        </w:trPr>
        <w:tc>
          <w:tcPr>
            <w:tcW w:w="2986" w:type="dxa"/>
            <w:vMerge/>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2C830925" w14:textId="77777777" w:rsidR="0046020E" w:rsidRPr="00484AE0" w:rsidRDefault="0046020E" w:rsidP="002A04BE">
            <w:pPr>
              <w:spacing w:after="0"/>
              <w:rPr>
                <w:rFonts w:ascii="Garamond" w:hAnsi="Garamond"/>
                <w:color w:val="FFFFFF" w:themeColor="background1"/>
              </w:rPr>
            </w:pP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3A029C32"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0-1,99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112EF625"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2-9,99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51A5A3F6"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10-24,99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5A8FE8E3"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25-39,99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5DE6221B"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40-49,99</w:t>
            </w:r>
          </w:p>
        </w:tc>
        <w:tc>
          <w:tcPr>
            <w:tcW w:w="1013"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60B75740" w14:textId="77777777" w:rsidR="0046020E" w:rsidRPr="00484AE0" w:rsidRDefault="0046020E" w:rsidP="002A04BE">
            <w:pPr>
              <w:spacing w:after="0"/>
              <w:jc w:val="center"/>
              <w:rPr>
                <w:color w:val="FFFFFF" w:themeColor="background1"/>
                <w:szCs w:val="20"/>
              </w:rPr>
            </w:pPr>
            <w:r w:rsidRPr="00484AE0">
              <w:rPr>
                <w:color w:val="FFFFFF" w:themeColor="background1"/>
                <w:szCs w:val="20"/>
              </w:rPr>
              <w:t>≥50</w:t>
            </w:r>
          </w:p>
        </w:tc>
      </w:tr>
      <w:tr w:rsidR="0046020E" w:rsidRPr="00484AE0" w14:paraId="7A263F47"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315FC4" w14:textId="77777777" w:rsidR="0046020E" w:rsidRPr="00484AE0" w:rsidRDefault="0046020E" w:rsidP="002A04BE">
            <w:pPr>
              <w:spacing w:after="0"/>
              <w:rPr>
                <w:rFonts w:cstheme="minorHAnsi"/>
                <w:szCs w:val="16"/>
              </w:rPr>
            </w:pPr>
            <w:r w:rsidRPr="00484AE0">
              <w:rPr>
                <w:rFonts w:ascii="Calibri" w:hAnsi="Calibri" w:cstheme="minorHAnsi"/>
                <w:color w:val="000000"/>
                <w:szCs w:val="16"/>
              </w:rPr>
              <w:t>Średnia roczna dla wód przejściowych</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033D9B7"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88,89</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0341087"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11,11</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86AFD15"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3B7BFA00"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1E32B715"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AA6556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7F70823F"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568D37" w14:textId="77777777" w:rsidR="0046020E" w:rsidRPr="00484AE0" w:rsidRDefault="0046020E" w:rsidP="002A04BE">
            <w:pPr>
              <w:spacing w:after="0"/>
              <w:rPr>
                <w:rFonts w:cstheme="minorHAnsi"/>
                <w:szCs w:val="16"/>
              </w:rPr>
            </w:pPr>
            <w:r w:rsidRPr="00484AE0">
              <w:rPr>
                <w:rFonts w:ascii="Calibri" w:hAnsi="Calibri" w:cstheme="minorHAnsi"/>
                <w:color w:val="000000"/>
                <w:szCs w:val="16"/>
              </w:rPr>
              <w:t>Średnia zimowa dla wód przejściowych</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B744BBA"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77,78</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89E2C1"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22,22</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FCCEB31"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536791EA"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4755930D"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8F739C8"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5C2F9DB9"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41ADDD" w14:textId="77777777" w:rsidR="0046020E" w:rsidRPr="00484AE0" w:rsidRDefault="0046020E" w:rsidP="002A04BE">
            <w:pPr>
              <w:spacing w:after="0"/>
              <w:rPr>
                <w:rFonts w:cstheme="minorHAnsi"/>
                <w:szCs w:val="16"/>
              </w:rPr>
            </w:pPr>
            <w:r w:rsidRPr="00484AE0">
              <w:rPr>
                <w:rFonts w:ascii="Calibri" w:hAnsi="Calibri" w:cstheme="minorHAnsi"/>
                <w:color w:val="000000"/>
                <w:szCs w:val="16"/>
              </w:rPr>
              <w:t>Maksymalna wartość dla wód przejściowych</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B7BE3E"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44,44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80A2AE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44,44</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91C228D"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11,11</w:t>
            </w:r>
          </w:p>
        </w:tc>
        <w:tc>
          <w:tcPr>
            <w:tcW w:w="1013" w:type="dxa"/>
            <w:tcBorders>
              <w:top w:val="single" w:sz="6" w:space="0" w:color="000000"/>
              <w:left w:val="single" w:sz="6" w:space="0" w:color="000000"/>
              <w:bottom w:val="single" w:sz="6" w:space="0" w:color="000000"/>
              <w:right w:val="single" w:sz="6" w:space="0" w:color="000000"/>
            </w:tcBorders>
            <w:vAlign w:val="bottom"/>
          </w:tcPr>
          <w:p w14:paraId="07665E35"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7D38C8B4"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6789D1A"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7FE548F2"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C2B3A6" w14:textId="77777777" w:rsidR="0046020E" w:rsidRPr="00484AE0" w:rsidRDefault="0046020E" w:rsidP="002A04BE">
            <w:pPr>
              <w:spacing w:after="0"/>
              <w:rPr>
                <w:rFonts w:cstheme="minorHAnsi"/>
                <w:szCs w:val="16"/>
              </w:rPr>
            </w:pPr>
            <w:r w:rsidRPr="00484AE0">
              <w:rPr>
                <w:rFonts w:ascii="Calibri" w:hAnsi="Calibri" w:cstheme="minorHAnsi"/>
                <w:color w:val="000000"/>
                <w:szCs w:val="16"/>
              </w:rPr>
              <w:t>Średnia roczna dla wód przybrzeżnych</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72C14C"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100,00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66E39DB"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AE57B4"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546789BA"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231B8FCB"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36835CF"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45ECE568"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2C6AC5" w14:textId="77777777" w:rsidR="0046020E" w:rsidRPr="00484AE0" w:rsidRDefault="0046020E" w:rsidP="002A04BE">
            <w:pPr>
              <w:spacing w:after="0"/>
              <w:rPr>
                <w:rFonts w:cstheme="minorHAnsi"/>
                <w:szCs w:val="16"/>
              </w:rPr>
            </w:pPr>
            <w:r w:rsidRPr="00484AE0">
              <w:rPr>
                <w:rFonts w:ascii="Calibri" w:hAnsi="Calibri" w:cstheme="minorHAnsi"/>
                <w:color w:val="000000"/>
                <w:szCs w:val="16"/>
              </w:rPr>
              <w:lastRenderedPageBreak/>
              <w:t>Średnia zimowa dla wód przybrzeżnych</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08CEF9"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100,00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DF90445"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5258E6D"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4CD5D0C0"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41B637D5"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688B74E"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4A416372"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997DB" w14:textId="77777777" w:rsidR="0046020E" w:rsidRPr="00484AE0" w:rsidRDefault="0046020E" w:rsidP="002A04BE">
            <w:pPr>
              <w:spacing w:after="0"/>
              <w:rPr>
                <w:rFonts w:cstheme="minorHAnsi"/>
                <w:szCs w:val="16"/>
              </w:rPr>
            </w:pPr>
            <w:r w:rsidRPr="00484AE0">
              <w:rPr>
                <w:rFonts w:ascii="Calibri" w:hAnsi="Calibri" w:cstheme="minorHAnsi"/>
                <w:color w:val="000000"/>
                <w:szCs w:val="16"/>
              </w:rPr>
              <w:t>Maksymalna wartość dla wód przybrzeżnych</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B37490"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100,00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98BA781"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DA5EEFC"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31CDFB56"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vAlign w:val="bottom"/>
          </w:tcPr>
          <w:p w14:paraId="462FD826"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01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8415B4"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bl>
    <w:p w14:paraId="1A1D6B56" w14:textId="4C245FAB" w:rsidR="0046020E" w:rsidRPr="00484AE0" w:rsidRDefault="0046020E" w:rsidP="00B206A6">
      <w:pPr>
        <w:spacing w:before="240" w:after="0"/>
        <w:jc w:val="both"/>
      </w:pPr>
      <w:r w:rsidRPr="00484AE0">
        <w:t xml:space="preserve">W 2020 r. w 100% punktów pomiarowo-kontrolnych JCWP przejściowych i przybrzeżnych, średnie roczne oraz zimowe stężenia azotanów nie przekroczyły wartości </w:t>
      </w:r>
      <w:r w:rsidR="00872E2F">
        <w:t>1,99</w:t>
      </w:r>
      <w:r w:rsidRPr="00484AE0">
        <w:t xml:space="preserve"> mg NO</w:t>
      </w:r>
      <w:r w:rsidRPr="00484AE0">
        <w:rPr>
          <w:vertAlign w:val="subscript"/>
        </w:rPr>
        <w:t>3</w:t>
      </w:r>
      <w:r w:rsidRPr="00484AE0">
        <w:t xml:space="preserve">/l. Wartości maksymalne stężenia azotanów w wodach przejściowych w 100% </w:t>
      </w:r>
      <w:proofErr w:type="spellStart"/>
      <w:r w:rsidRPr="00484AE0">
        <w:t>ppk</w:t>
      </w:r>
      <w:proofErr w:type="spellEnd"/>
      <w:r w:rsidRPr="00484AE0">
        <w:t xml:space="preserve"> nie przekroczyła wartości 25 mg NO</w:t>
      </w:r>
      <w:r w:rsidRPr="00484AE0">
        <w:rPr>
          <w:vertAlign w:val="subscript"/>
        </w:rPr>
        <w:t>3</w:t>
      </w:r>
      <w:r w:rsidRPr="00484AE0">
        <w:t>/l. W latach 2016-2019 wartości średnie roczne stężeń azotanów w wodach przejściowych i przybrzeżnych kształtowały się na podobnym poziomie.</w:t>
      </w:r>
      <w:r w:rsidR="00C6601F">
        <w:rPr>
          <w:rStyle w:val="Odwoanieprzypisudolnego"/>
        </w:rPr>
        <w:footnoteReference w:id="5"/>
      </w:r>
      <w:r w:rsidRPr="00484AE0">
        <w:t xml:space="preserve"> </w:t>
      </w:r>
    </w:p>
    <w:bookmarkEnd w:id="11"/>
    <w:p w14:paraId="75AB7D35" w14:textId="77777777" w:rsidR="0046020E" w:rsidRPr="00484AE0" w:rsidRDefault="0046020E" w:rsidP="002A04BE">
      <w:pPr>
        <w:jc w:val="both"/>
        <w:rPr>
          <w:bCs/>
        </w:rPr>
      </w:pPr>
      <w:r w:rsidRPr="00484AE0">
        <w:rPr>
          <w:bCs/>
        </w:rPr>
        <w:t>Średnie roczne stężenie azotanów w wodach powierzchniowych w poprzednim okresie sprawozdawczym i w 2020 r. (we wspólnych punktach pomiarowych) przedstawiono na poniższych mapach.</w:t>
      </w:r>
    </w:p>
    <w:p w14:paraId="4EEF5895" w14:textId="77777777" w:rsidR="0046020E" w:rsidRPr="00484AE0" w:rsidRDefault="0046020E" w:rsidP="002A04BE">
      <w:pPr>
        <w:jc w:val="both"/>
        <w:rPr>
          <w:bCs/>
        </w:rPr>
      </w:pPr>
    </w:p>
    <w:p w14:paraId="4F262F8F" w14:textId="77777777" w:rsidR="0046020E" w:rsidRPr="00484AE0" w:rsidRDefault="0046020E" w:rsidP="002A04BE">
      <w:pPr>
        <w:jc w:val="both"/>
        <w:rPr>
          <w:bCs/>
        </w:rPr>
      </w:pPr>
    </w:p>
    <w:p w14:paraId="06FB5C37" w14:textId="77777777" w:rsidR="0046020E" w:rsidRPr="00484AE0" w:rsidRDefault="0046020E" w:rsidP="002A04BE">
      <w:pPr>
        <w:jc w:val="both"/>
        <w:rPr>
          <w:bCs/>
        </w:rPr>
      </w:pPr>
    </w:p>
    <w:p w14:paraId="740D6698" w14:textId="77777777" w:rsidR="0046020E" w:rsidRPr="00484AE0" w:rsidRDefault="0046020E" w:rsidP="002A04BE">
      <w:pPr>
        <w:jc w:val="both"/>
        <w:rPr>
          <w:bCs/>
        </w:rPr>
      </w:pPr>
    </w:p>
    <w:p w14:paraId="4125D366" w14:textId="77777777" w:rsidR="0046020E" w:rsidRPr="00484AE0" w:rsidRDefault="0046020E" w:rsidP="002A04BE">
      <w:pPr>
        <w:rPr>
          <w:rFonts w:cstheme="minorHAnsi"/>
        </w:rPr>
      </w:pPr>
    </w:p>
    <w:p w14:paraId="632BC565" w14:textId="77777777" w:rsidR="0046020E" w:rsidRPr="00484AE0" w:rsidRDefault="0046020E" w:rsidP="002A04BE">
      <w:pPr>
        <w:rPr>
          <w:rFonts w:cstheme="minorHAnsi"/>
        </w:rPr>
      </w:pPr>
    </w:p>
    <w:p w14:paraId="2140AFA0" w14:textId="77777777" w:rsidR="0046020E" w:rsidRPr="00484AE0" w:rsidRDefault="0046020E" w:rsidP="002A04BE">
      <w:pPr>
        <w:rPr>
          <w:rFonts w:cstheme="minorHAnsi"/>
        </w:rPr>
        <w:sectPr w:rsidR="0046020E" w:rsidRPr="00484AE0" w:rsidSect="00622F8C">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99E513C" w14:textId="59A2EA53" w:rsidR="0046020E" w:rsidRPr="00484AE0" w:rsidRDefault="00432A15" w:rsidP="002A04BE">
      <w:pPr>
        <w:spacing w:after="0"/>
        <w:jc w:val="both"/>
        <w:rPr>
          <w:color w:val="2F5496" w:themeColor="accent1" w:themeShade="BF"/>
          <w:sz w:val="20"/>
        </w:rPr>
      </w:pPr>
      <w:r w:rsidRPr="00484AE0">
        <w:rPr>
          <w:noProof/>
          <w:color w:val="2F5496" w:themeColor="accent1" w:themeShade="BF"/>
          <w:sz w:val="20"/>
          <w:lang w:eastAsia="pl-PL"/>
        </w:rPr>
        <w:lastRenderedPageBreak/>
        <w:drawing>
          <wp:anchor distT="0" distB="0" distL="114300" distR="114300" simplePos="0" relativeHeight="251668480" behindDoc="0" locked="0" layoutInCell="1" allowOverlap="1" wp14:anchorId="2D16F3E3" wp14:editId="1E319912">
            <wp:simplePos x="0" y="0"/>
            <wp:positionH relativeFrom="margin">
              <wp:posOffset>-65377</wp:posOffset>
            </wp:positionH>
            <wp:positionV relativeFrom="paragraph">
              <wp:posOffset>205270</wp:posOffset>
            </wp:positionV>
            <wp:extent cx="13150850" cy="8352790"/>
            <wp:effectExtent l="0" t="0" r="0" b="0"/>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0850" cy="835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020E" w:rsidRPr="00484AE0">
        <w:rPr>
          <w:color w:val="2F5496" w:themeColor="accent1" w:themeShade="BF"/>
          <w:sz w:val="20"/>
          <w:szCs w:val="20"/>
        </w:rPr>
        <w:t xml:space="preserve">Rysunek </w:t>
      </w:r>
      <w:r w:rsidR="0046020E" w:rsidRPr="00484AE0">
        <w:rPr>
          <w:color w:val="2F5496" w:themeColor="accent1" w:themeShade="BF"/>
          <w:sz w:val="20"/>
          <w:szCs w:val="20"/>
        </w:rPr>
        <w:fldChar w:fldCharType="begin"/>
      </w:r>
      <w:r w:rsidR="0046020E" w:rsidRPr="00484AE0">
        <w:rPr>
          <w:color w:val="2F5496" w:themeColor="accent1" w:themeShade="BF"/>
          <w:sz w:val="20"/>
          <w:szCs w:val="20"/>
        </w:rPr>
        <w:instrText xml:space="preserve"> SEQ Rysunek \* ARABIC </w:instrText>
      </w:r>
      <w:r w:rsidR="0046020E" w:rsidRPr="00484AE0">
        <w:rPr>
          <w:color w:val="2F5496" w:themeColor="accent1" w:themeShade="BF"/>
          <w:sz w:val="20"/>
          <w:szCs w:val="20"/>
        </w:rPr>
        <w:fldChar w:fldCharType="separate"/>
      </w:r>
      <w:r w:rsidR="0046020E" w:rsidRPr="00484AE0">
        <w:rPr>
          <w:noProof/>
          <w:color w:val="2F5496" w:themeColor="accent1" w:themeShade="BF"/>
          <w:sz w:val="20"/>
          <w:szCs w:val="20"/>
        </w:rPr>
        <w:t>1</w:t>
      </w:r>
      <w:r w:rsidR="0046020E" w:rsidRPr="00484AE0">
        <w:rPr>
          <w:color w:val="2F5496" w:themeColor="accent1" w:themeShade="BF"/>
          <w:sz w:val="20"/>
          <w:szCs w:val="20"/>
        </w:rPr>
        <w:fldChar w:fldCharType="end"/>
      </w:r>
      <w:r w:rsidR="0046020E" w:rsidRPr="00484AE0">
        <w:rPr>
          <w:color w:val="2F5496" w:themeColor="accent1" w:themeShade="BF"/>
          <w:sz w:val="20"/>
          <w:szCs w:val="20"/>
        </w:rPr>
        <w:t xml:space="preserve">. </w:t>
      </w:r>
      <w:r w:rsidR="00B149E0">
        <w:rPr>
          <w:color w:val="2F5496" w:themeColor="accent1" w:themeShade="BF"/>
          <w:sz w:val="20"/>
          <w:szCs w:val="20"/>
        </w:rPr>
        <w:t>Ś</w:t>
      </w:r>
      <w:r w:rsidR="0046020E" w:rsidRPr="00484AE0">
        <w:rPr>
          <w:color w:val="2F5496" w:themeColor="accent1" w:themeShade="BF"/>
          <w:sz w:val="20"/>
        </w:rPr>
        <w:t>rednie roczne stężenie azotanów w wodach powierzchniowych w okresie sprawozdawczym 2016-2019 oraz w 2020 r. (we wspólnych punktach pomiarowych)</w:t>
      </w:r>
    </w:p>
    <w:p w14:paraId="4EBCCB84" w14:textId="5AE9C230" w:rsidR="00432A15" w:rsidRPr="00432A15" w:rsidRDefault="00432A15" w:rsidP="00432A15">
      <w:pPr>
        <w:spacing w:after="0"/>
        <w:rPr>
          <w:rFonts w:cstheme="minorHAnsi"/>
          <w:sz w:val="20"/>
          <w:szCs w:val="20"/>
        </w:rPr>
        <w:sectPr w:rsidR="00432A15" w:rsidRPr="00432A15" w:rsidSect="00160BD4">
          <w:pgSz w:w="23814" w:h="16839" w:orient="landscape" w:code="8"/>
          <w:pgMar w:top="1417" w:right="1417" w:bottom="1417" w:left="1417" w:header="708" w:footer="708" w:gutter="0"/>
          <w:cols w:space="708"/>
          <w:docGrid w:linePitch="360"/>
        </w:sectPr>
      </w:pPr>
      <w:r w:rsidRPr="00432A15">
        <w:rPr>
          <w:rFonts w:cstheme="minorHAnsi"/>
          <w:sz w:val="20"/>
          <w:szCs w:val="20"/>
        </w:rPr>
        <w:t xml:space="preserve">Źródło: opracowano na podstawie </w:t>
      </w:r>
      <w:r w:rsidRPr="00432A15">
        <w:rPr>
          <w:rFonts w:cstheme="minorHAnsi"/>
          <w:bCs/>
          <w:sz w:val="20"/>
          <w:szCs w:val="20"/>
        </w:rPr>
        <w:t xml:space="preserve">Sprawozdania z realizacji dyrektywy 91/676/EWG (azotanowej) w latach 2016-2020 oraz wyników PMŚ z 2020 r. </w:t>
      </w:r>
    </w:p>
    <w:p w14:paraId="3BD85B9F" w14:textId="77777777" w:rsidR="0046020E" w:rsidRPr="00484AE0" w:rsidRDefault="0046020E" w:rsidP="00D4178D">
      <w:pPr>
        <w:pStyle w:val="Akapitzlist"/>
        <w:keepNext/>
        <w:numPr>
          <w:ilvl w:val="2"/>
          <w:numId w:val="21"/>
        </w:numPr>
        <w:ind w:left="1418" w:hanging="567"/>
        <w:jc w:val="both"/>
        <w:rPr>
          <w:rStyle w:val="Wyrnienieintensywne"/>
          <w:rFonts w:asciiTheme="majorHAnsi" w:hAnsiTheme="majorHAnsi"/>
          <w:b w:val="0"/>
          <w:bCs w:val="0"/>
          <w:color w:val="2F5496" w:themeColor="accent1" w:themeShade="BF"/>
        </w:rPr>
      </w:pPr>
      <w:r w:rsidRPr="00484AE0">
        <w:rPr>
          <w:rStyle w:val="Wyrnienieintensywne"/>
          <w:rFonts w:asciiTheme="majorHAnsi" w:hAnsiTheme="majorHAnsi"/>
          <w:b w:val="0"/>
          <w:bCs w:val="0"/>
          <w:color w:val="2F5496" w:themeColor="accent1" w:themeShade="BF"/>
        </w:rPr>
        <w:lastRenderedPageBreak/>
        <w:t>Analiza tendencji zmian średnich i maksymalnych wartości stężeń azotanów w wodach powierzchniowych</w:t>
      </w:r>
    </w:p>
    <w:p w14:paraId="763FC657" w14:textId="18298A14" w:rsidR="0046020E" w:rsidRPr="00484AE0" w:rsidRDefault="0046020E" w:rsidP="002A04BE">
      <w:pPr>
        <w:autoSpaceDE w:val="0"/>
        <w:autoSpaceDN w:val="0"/>
        <w:adjustRightInd w:val="0"/>
        <w:spacing w:after="0"/>
        <w:jc w:val="both"/>
        <w:rPr>
          <w:rFonts w:cs="ArialNarrow"/>
        </w:rPr>
      </w:pPr>
      <w:r w:rsidRPr="00484AE0">
        <w:rPr>
          <w:rFonts w:cs="ArialNarrow"/>
        </w:rPr>
        <w:t xml:space="preserve">Zmiany wartości stężeń azotanów w wodach powierzchniowych określono na podstawie porównania średnich wartości dla okresu sprawozdawczego 2016–2019 i </w:t>
      </w:r>
      <w:r w:rsidR="00BC75FA">
        <w:rPr>
          <w:rFonts w:cs="ArialNarrow"/>
        </w:rPr>
        <w:t xml:space="preserve">dla </w:t>
      </w:r>
      <w:r w:rsidRPr="00484AE0">
        <w:rPr>
          <w:rFonts w:cs="ArialNarrow"/>
        </w:rPr>
        <w:t>2020</w:t>
      </w:r>
      <w:r w:rsidR="00BC75FA">
        <w:rPr>
          <w:rFonts w:cs="ArialNarrow"/>
        </w:rPr>
        <w:t xml:space="preserve"> roku</w:t>
      </w:r>
      <w:r w:rsidRPr="00484AE0">
        <w:rPr>
          <w:rFonts w:cs="ArialNarrow"/>
        </w:rPr>
        <w:t>. Wyniki przedstawiono za pomocą klas tendencji zmian zgodnie ze S</w:t>
      </w:r>
      <w:r w:rsidRPr="00484AE0">
        <w:rPr>
          <w:rFonts w:cstheme="minorHAnsi"/>
        </w:rPr>
        <w:t>prawozdaniem z realizacji dyrektywy 91/676/EWG (azotanowej) w latach 2016-2020</w:t>
      </w:r>
      <w:r w:rsidR="00D52433">
        <w:rPr>
          <w:rStyle w:val="Odwoanieprzypisudolnego"/>
          <w:rFonts w:cstheme="minorHAnsi"/>
        </w:rPr>
        <w:footnoteReference w:id="6"/>
      </w:r>
      <w:r w:rsidRPr="00484AE0">
        <w:rPr>
          <w:rFonts w:cstheme="minorHAnsi"/>
        </w:rPr>
        <w:t xml:space="preserve"> oraz zgodnie z </w:t>
      </w:r>
      <w:r w:rsidRPr="00484AE0">
        <w:rPr>
          <w:rFonts w:cs="ArialNarrow"/>
        </w:rPr>
        <w:t>wytycznymi Komisji Europejskiej (Komisja Europejska, 2020)</w:t>
      </w:r>
      <w:r w:rsidR="00D52433">
        <w:rPr>
          <w:rStyle w:val="Odwoanieprzypisudolnego"/>
          <w:rFonts w:cs="ArialNarrow"/>
        </w:rPr>
        <w:footnoteReference w:id="7"/>
      </w:r>
      <w:r w:rsidRPr="00484AE0">
        <w:rPr>
          <w:rFonts w:cs="ArialNarrow"/>
        </w:rPr>
        <w:t>.</w:t>
      </w:r>
    </w:p>
    <w:p w14:paraId="07A8E0CF" w14:textId="77777777" w:rsidR="0046020E" w:rsidRPr="00484AE0" w:rsidRDefault="0046020E" w:rsidP="002A04BE">
      <w:pPr>
        <w:autoSpaceDE w:val="0"/>
        <w:autoSpaceDN w:val="0"/>
        <w:adjustRightInd w:val="0"/>
        <w:spacing w:after="0"/>
        <w:jc w:val="both"/>
        <w:rPr>
          <w:rFonts w:cs="ArialNarrow"/>
        </w:rPr>
      </w:pPr>
      <w:r w:rsidRPr="00484AE0">
        <w:t xml:space="preserve">W poniższych tabelach przedstawiono wyniki </w:t>
      </w:r>
      <w:r w:rsidRPr="00484AE0">
        <w:rPr>
          <w:rFonts w:cs="ArialNarrow"/>
        </w:rPr>
        <w:t>porównania średnich wartości dla okresu sprawozdawczego 2016–2019 i 2020 roku dla wód powierzchniowych.</w:t>
      </w:r>
      <w:r w:rsidRPr="00484AE0">
        <w:rPr>
          <w:rFonts w:cs="ArialNarrow"/>
          <w:b/>
        </w:rPr>
        <w:t xml:space="preserve"> </w:t>
      </w:r>
      <w:r w:rsidRPr="00484AE0">
        <w:rPr>
          <w:rFonts w:cs="ArialNarrow"/>
        </w:rPr>
        <w:t xml:space="preserve">Charakterystyka punktów pomiarowych uwzględnionych w poniższej analizie oraz wyniki zmian stężeń azotanów w wodach powierzchniowych przedstawiono w Załączniku 1.  </w:t>
      </w:r>
    </w:p>
    <w:p w14:paraId="74C51992" w14:textId="77777777" w:rsidR="0046020E" w:rsidRPr="00484AE0" w:rsidRDefault="0046020E" w:rsidP="002A04BE">
      <w:r w:rsidRPr="00484AE0">
        <w:t xml:space="preserve">Analiza tendencji zmian stężeń azotanów w wodach powierzchniowych w roku 2020 w porównaniu do lat 2016-2019, została przeprowadzona dla 992 punktów wspólnych, dla których dostępne były wyniki z obydwu ww. okresów. </w:t>
      </w:r>
    </w:p>
    <w:p w14:paraId="4872F4F8" w14:textId="715440B5" w:rsidR="0046020E" w:rsidRPr="00397E41" w:rsidRDefault="0046020E" w:rsidP="00397E41">
      <w:pPr>
        <w:pStyle w:val="Legenda"/>
        <w:spacing w:before="120" w:after="0" w:line="259" w:lineRule="auto"/>
        <w:jc w:val="both"/>
        <w:rPr>
          <w:i w:val="0"/>
          <w:iCs w:val="0"/>
          <w:color w:val="2F5496" w:themeColor="accent1" w:themeShade="BF"/>
          <w:sz w:val="20"/>
          <w:szCs w:val="20"/>
        </w:rPr>
      </w:pPr>
      <w:bookmarkStart w:id="12" w:name="_Ref46409098"/>
      <w:bookmarkStart w:id="13" w:name="_Toc43976504"/>
      <w:bookmarkStart w:id="14" w:name="_Toc50978506"/>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Pr="00397E41">
        <w:rPr>
          <w:i w:val="0"/>
          <w:iCs w:val="0"/>
          <w:color w:val="2F5496" w:themeColor="accent1" w:themeShade="BF"/>
          <w:sz w:val="20"/>
          <w:szCs w:val="20"/>
        </w:rPr>
        <w:t>4</w:t>
      </w:r>
      <w:r w:rsidRPr="00397E41">
        <w:rPr>
          <w:i w:val="0"/>
          <w:iCs w:val="0"/>
          <w:color w:val="2F5496" w:themeColor="accent1" w:themeShade="BF"/>
          <w:sz w:val="20"/>
          <w:szCs w:val="20"/>
        </w:rPr>
        <w:fldChar w:fldCharType="end"/>
      </w:r>
      <w:bookmarkEnd w:id="12"/>
      <w:r w:rsidRPr="00397E41">
        <w:rPr>
          <w:i w:val="0"/>
          <w:iCs w:val="0"/>
          <w:color w:val="2F5496" w:themeColor="accent1" w:themeShade="BF"/>
          <w:sz w:val="20"/>
          <w:szCs w:val="20"/>
        </w:rPr>
        <w:t xml:space="preserve">. Tendencje zmian stężenia azotanów w wodach powierzchniowych (rzekach i jeziorach) na podstawie średnich i maksymalnych wartości </w:t>
      </w:r>
      <w:bookmarkEnd w:id="13"/>
      <w:bookmarkEnd w:id="14"/>
      <w:r w:rsidRPr="00397E41">
        <w:rPr>
          <w:i w:val="0"/>
          <w:iCs w:val="0"/>
          <w:color w:val="2F5496" w:themeColor="accent1" w:themeShade="BF"/>
          <w:sz w:val="20"/>
          <w:szCs w:val="20"/>
        </w:rPr>
        <w:t xml:space="preserve">we wspólnych punktach pomiarowych </w:t>
      </w:r>
      <w:r w:rsidR="002F4B59">
        <w:rPr>
          <w:i w:val="0"/>
          <w:iCs w:val="0"/>
          <w:color w:val="2F5496" w:themeColor="accent1" w:themeShade="BF"/>
          <w:sz w:val="20"/>
          <w:szCs w:val="20"/>
        </w:rPr>
        <w:t>w okresie 2016- 2019 i w 2020 r.</w:t>
      </w:r>
    </w:p>
    <w:tbl>
      <w:tblPr>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6"/>
        <w:gridCol w:w="1134"/>
        <w:gridCol w:w="1134"/>
        <w:gridCol w:w="1134"/>
        <w:gridCol w:w="1259"/>
        <w:gridCol w:w="1276"/>
      </w:tblGrid>
      <w:tr w:rsidR="0046020E" w:rsidRPr="00484AE0" w14:paraId="53F25C30" w14:textId="77777777" w:rsidTr="00160BD4">
        <w:trPr>
          <w:trHeight w:val="238"/>
          <w:tblHeader/>
        </w:trPr>
        <w:tc>
          <w:tcPr>
            <w:tcW w:w="2986" w:type="dxa"/>
            <w:vMerge w:val="restart"/>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7D2C9C8A" w14:textId="229E6A7B" w:rsidR="0046020E" w:rsidRPr="00484AE0" w:rsidRDefault="00B64C25" w:rsidP="002A04BE">
            <w:pPr>
              <w:spacing w:after="0"/>
              <w:jc w:val="center"/>
              <w:rPr>
                <w:rFonts w:ascii="Garamond" w:hAnsi="Garamond"/>
                <w:color w:val="FFFFFF" w:themeColor="background1"/>
              </w:rPr>
            </w:pPr>
            <w:r>
              <w:rPr>
                <w:rFonts w:cstheme="minorHAnsi"/>
                <w:color w:val="FFFFFF" w:themeColor="background1"/>
              </w:rPr>
              <w:t>Stężenia ś</w:t>
            </w:r>
            <w:r w:rsidRPr="00484AE0">
              <w:rPr>
                <w:rFonts w:cstheme="minorHAnsi"/>
                <w:color w:val="FFFFFF" w:themeColor="background1"/>
              </w:rPr>
              <w:t>rednie/ maksymalne dla kategorii wód</w:t>
            </w:r>
          </w:p>
        </w:tc>
        <w:tc>
          <w:tcPr>
            <w:tcW w:w="5937" w:type="dxa"/>
            <w:gridSpan w:val="5"/>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337E6128" w14:textId="77777777" w:rsidR="0046020E" w:rsidRPr="00484AE0" w:rsidRDefault="0046020E" w:rsidP="002A04BE">
            <w:pPr>
              <w:spacing w:after="0"/>
              <w:jc w:val="center"/>
              <w:rPr>
                <w:color w:val="FFFFFF" w:themeColor="background1"/>
              </w:rPr>
            </w:pPr>
            <w:r w:rsidRPr="00484AE0">
              <w:rPr>
                <w:color w:val="FFFFFF" w:themeColor="background1"/>
              </w:rPr>
              <w:t>% punktów ze zmianą stężeń azotanów [mg NO</w:t>
            </w:r>
            <w:r w:rsidRPr="00484AE0">
              <w:rPr>
                <w:color w:val="FFFFFF" w:themeColor="background1"/>
                <w:vertAlign w:val="subscript"/>
              </w:rPr>
              <w:t>3</w:t>
            </w:r>
            <w:r w:rsidRPr="00484AE0">
              <w:rPr>
                <w:color w:val="FFFFFF" w:themeColor="background1"/>
              </w:rPr>
              <w:t xml:space="preserve">/l] </w:t>
            </w:r>
          </w:p>
          <w:p w14:paraId="1261FB4C" w14:textId="594F0A10" w:rsidR="0046020E" w:rsidRPr="00484AE0" w:rsidRDefault="0046020E" w:rsidP="002A04BE">
            <w:pPr>
              <w:spacing w:after="0"/>
              <w:jc w:val="center"/>
              <w:rPr>
                <w:color w:val="FFFFFF" w:themeColor="background1"/>
                <w:szCs w:val="20"/>
              </w:rPr>
            </w:pPr>
            <w:r w:rsidRPr="00484AE0">
              <w:rPr>
                <w:color w:val="FFFFFF" w:themeColor="background1"/>
              </w:rPr>
              <w:t>w przedziale</w:t>
            </w:r>
          </w:p>
        </w:tc>
      </w:tr>
      <w:tr w:rsidR="0046020E" w:rsidRPr="00484AE0" w14:paraId="1080FB87" w14:textId="77777777" w:rsidTr="00160BD4">
        <w:trPr>
          <w:trHeight w:val="340"/>
          <w:tblHeader/>
        </w:trPr>
        <w:tc>
          <w:tcPr>
            <w:tcW w:w="2986" w:type="dxa"/>
            <w:vMerge/>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13C78584" w14:textId="77777777" w:rsidR="0046020E" w:rsidRPr="00484AE0" w:rsidRDefault="0046020E" w:rsidP="002A04BE">
            <w:pPr>
              <w:spacing w:after="0"/>
              <w:rPr>
                <w:rFonts w:ascii="Garamond" w:hAnsi="Garamond"/>
                <w:color w:val="FFFFFF" w:themeColor="background1"/>
              </w:rPr>
            </w:pPr>
          </w:p>
        </w:tc>
        <w:tc>
          <w:tcPr>
            <w:tcW w:w="1134"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6859D7E4" w14:textId="77777777" w:rsidR="0046020E" w:rsidRPr="00484AE0" w:rsidRDefault="0046020E" w:rsidP="002A04BE">
            <w:pPr>
              <w:spacing w:after="0"/>
              <w:jc w:val="center"/>
              <w:rPr>
                <w:color w:val="FFFFFF" w:themeColor="background1"/>
                <w:szCs w:val="20"/>
              </w:rPr>
            </w:pPr>
            <w:r w:rsidRPr="00484AE0">
              <w:rPr>
                <w:color w:val="FFFFFF" w:themeColor="background1"/>
              </w:rPr>
              <w:t>&lt; - 5</w:t>
            </w:r>
          </w:p>
        </w:tc>
        <w:tc>
          <w:tcPr>
            <w:tcW w:w="1134"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59BC35D8" w14:textId="77777777" w:rsidR="0046020E" w:rsidRPr="00484AE0" w:rsidRDefault="0046020E" w:rsidP="002A04BE">
            <w:pPr>
              <w:spacing w:after="0"/>
              <w:jc w:val="center"/>
              <w:rPr>
                <w:color w:val="FFFFFF" w:themeColor="background1"/>
                <w:szCs w:val="20"/>
              </w:rPr>
            </w:pPr>
            <w:r w:rsidRPr="00484AE0">
              <w:rPr>
                <w:color w:val="FFFFFF" w:themeColor="background1"/>
              </w:rPr>
              <w:t>≥ -5 i &lt; -1</w:t>
            </w:r>
          </w:p>
        </w:tc>
        <w:tc>
          <w:tcPr>
            <w:tcW w:w="1134"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246A8E84" w14:textId="77777777" w:rsidR="0046020E" w:rsidRPr="00484AE0" w:rsidRDefault="0046020E" w:rsidP="002A04BE">
            <w:pPr>
              <w:spacing w:after="0"/>
              <w:jc w:val="center"/>
              <w:rPr>
                <w:color w:val="FFFFFF" w:themeColor="background1"/>
                <w:szCs w:val="20"/>
              </w:rPr>
            </w:pPr>
            <w:r w:rsidRPr="00484AE0">
              <w:rPr>
                <w:color w:val="FFFFFF" w:themeColor="background1"/>
              </w:rPr>
              <w:t>≥ -1 i ≤ +1</w:t>
            </w:r>
          </w:p>
        </w:tc>
        <w:tc>
          <w:tcPr>
            <w:tcW w:w="1259"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26EA18C6" w14:textId="77777777" w:rsidR="0046020E" w:rsidRPr="00484AE0" w:rsidRDefault="0046020E" w:rsidP="002A04BE">
            <w:pPr>
              <w:spacing w:after="0"/>
              <w:jc w:val="center"/>
              <w:rPr>
                <w:color w:val="FFFFFF" w:themeColor="background1"/>
                <w:szCs w:val="20"/>
              </w:rPr>
            </w:pPr>
            <w:r w:rsidRPr="00484AE0">
              <w:rPr>
                <w:color w:val="FFFFFF" w:themeColor="background1"/>
              </w:rPr>
              <w:t>&gt; +1 i ≤ +5</w:t>
            </w:r>
          </w:p>
        </w:tc>
        <w:tc>
          <w:tcPr>
            <w:tcW w:w="1276"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7DC52DF5" w14:textId="77777777" w:rsidR="0046020E" w:rsidRPr="00484AE0" w:rsidRDefault="0046020E" w:rsidP="002A04BE">
            <w:pPr>
              <w:spacing w:after="0"/>
              <w:jc w:val="center"/>
              <w:rPr>
                <w:color w:val="FFFFFF" w:themeColor="background1"/>
                <w:szCs w:val="20"/>
              </w:rPr>
            </w:pPr>
            <w:r w:rsidRPr="00484AE0">
              <w:rPr>
                <w:color w:val="FFFFFF" w:themeColor="background1"/>
              </w:rPr>
              <w:t>&gt; +5</w:t>
            </w:r>
          </w:p>
        </w:tc>
      </w:tr>
      <w:tr w:rsidR="0046020E" w:rsidRPr="00484AE0" w14:paraId="2E380E01"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3F3E36B2" w14:textId="77777777" w:rsidR="0046020E" w:rsidRPr="00484AE0" w:rsidRDefault="0046020E" w:rsidP="002A04BE">
            <w:pPr>
              <w:spacing w:after="0"/>
              <w:rPr>
                <w:rFonts w:cstheme="minorHAnsi"/>
                <w:szCs w:val="16"/>
              </w:rPr>
            </w:pPr>
            <w:r w:rsidRPr="00484AE0">
              <w:rPr>
                <w:rFonts w:cstheme="minorHAnsi"/>
                <w:szCs w:val="16"/>
              </w:rPr>
              <w:t>Średnia roczna rzek</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0C51D89" w14:textId="77777777" w:rsidR="0046020E" w:rsidRPr="00484AE0" w:rsidRDefault="0046020E" w:rsidP="002A04BE">
            <w:pPr>
              <w:spacing w:after="0"/>
              <w:jc w:val="center"/>
              <w:rPr>
                <w:rFonts w:ascii="Garamond" w:hAnsi="Garamond"/>
                <w:szCs w:val="20"/>
              </w:rPr>
            </w:pPr>
            <w:r w:rsidRPr="00484AE0">
              <w:t>18,37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50AE690" w14:textId="77777777" w:rsidR="0046020E" w:rsidRPr="00484AE0" w:rsidRDefault="0046020E" w:rsidP="002A04BE">
            <w:pPr>
              <w:spacing w:after="0"/>
              <w:jc w:val="center"/>
              <w:rPr>
                <w:rFonts w:ascii="Garamond" w:hAnsi="Garamond"/>
                <w:szCs w:val="20"/>
              </w:rPr>
            </w:pPr>
            <w:r w:rsidRPr="00484AE0">
              <w:t>26,17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E3BFB53" w14:textId="77777777" w:rsidR="0046020E" w:rsidRPr="00484AE0" w:rsidRDefault="0046020E" w:rsidP="002A04BE">
            <w:pPr>
              <w:spacing w:after="0"/>
              <w:jc w:val="center"/>
              <w:rPr>
                <w:rFonts w:ascii="Garamond" w:hAnsi="Garamond"/>
                <w:szCs w:val="20"/>
              </w:rPr>
            </w:pPr>
            <w:r w:rsidRPr="00484AE0">
              <w:t>41,42</w:t>
            </w:r>
          </w:p>
        </w:tc>
        <w:tc>
          <w:tcPr>
            <w:tcW w:w="1259" w:type="dxa"/>
            <w:tcBorders>
              <w:top w:val="single" w:sz="6" w:space="0" w:color="000000"/>
              <w:left w:val="single" w:sz="6" w:space="0" w:color="000000"/>
              <w:bottom w:val="single" w:sz="6" w:space="0" w:color="000000"/>
              <w:right w:val="single" w:sz="6" w:space="0" w:color="000000"/>
            </w:tcBorders>
          </w:tcPr>
          <w:p w14:paraId="5E259743" w14:textId="77777777" w:rsidR="0046020E" w:rsidRPr="00484AE0" w:rsidRDefault="0046020E" w:rsidP="002A04BE">
            <w:pPr>
              <w:spacing w:after="0"/>
              <w:jc w:val="center"/>
              <w:rPr>
                <w:rFonts w:ascii="Calibri" w:hAnsi="Calibri"/>
                <w:color w:val="000000"/>
                <w:szCs w:val="20"/>
              </w:rPr>
            </w:pPr>
            <w:r w:rsidRPr="00484AE0">
              <w:t>11,04</w:t>
            </w:r>
          </w:p>
        </w:tc>
        <w:tc>
          <w:tcPr>
            <w:tcW w:w="1276" w:type="dxa"/>
            <w:tcBorders>
              <w:top w:val="single" w:sz="6" w:space="0" w:color="000000"/>
              <w:left w:val="single" w:sz="6" w:space="0" w:color="000000"/>
              <w:bottom w:val="single" w:sz="6" w:space="0" w:color="000000"/>
              <w:right w:val="single" w:sz="6" w:space="0" w:color="000000"/>
            </w:tcBorders>
          </w:tcPr>
          <w:p w14:paraId="6328C5C5" w14:textId="77777777" w:rsidR="0046020E" w:rsidRPr="00484AE0" w:rsidRDefault="0046020E" w:rsidP="002A04BE">
            <w:pPr>
              <w:spacing w:after="0"/>
              <w:jc w:val="center"/>
              <w:rPr>
                <w:rFonts w:ascii="Garamond" w:hAnsi="Garamond"/>
                <w:szCs w:val="20"/>
              </w:rPr>
            </w:pPr>
            <w:r w:rsidRPr="00484AE0">
              <w:t>3,00</w:t>
            </w:r>
          </w:p>
        </w:tc>
      </w:tr>
      <w:tr w:rsidR="0046020E" w:rsidRPr="00484AE0" w14:paraId="18331EC5" w14:textId="77777777" w:rsidTr="00160BD4">
        <w:trPr>
          <w:trHeight w:val="249"/>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377E045F" w14:textId="77777777" w:rsidR="0046020E" w:rsidRPr="00484AE0" w:rsidRDefault="0046020E" w:rsidP="002A04BE">
            <w:pPr>
              <w:spacing w:after="0"/>
              <w:rPr>
                <w:rFonts w:cstheme="minorHAnsi"/>
                <w:szCs w:val="16"/>
              </w:rPr>
            </w:pPr>
            <w:r w:rsidRPr="00484AE0">
              <w:rPr>
                <w:rFonts w:cstheme="minorHAnsi"/>
                <w:szCs w:val="16"/>
              </w:rPr>
              <w:t>Średnia zimowa rzek</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87A7957" w14:textId="77777777" w:rsidR="0046020E" w:rsidRPr="00484AE0" w:rsidRDefault="0046020E" w:rsidP="002A04BE">
            <w:pPr>
              <w:spacing w:after="0"/>
              <w:jc w:val="center"/>
              <w:rPr>
                <w:rFonts w:ascii="Garamond" w:hAnsi="Garamond"/>
                <w:szCs w:val="20"/>
              </w:rPr>
            </w:pPr>
            <w:r w:rsidRPr="00484AE0">
              <w:t>21,40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D8DEDBA" w14:textId="77777777" w:rsidR="0046020E" w:rsidRPr="00484AE0" w:rsidRDefault="0046020E" w:rsidP="002A04BE">
            <w:pPr>
              <w:spacing w:after="0"/>
              <w:jc w:val="center"/>
              <w:rPr>
                <w:rFonts w:ascii="Garamond" w:hAnsi="Garamond"/>
                <w:szCs w:val="20"/>
              </w:rPr>
            </w:pPr>
            <w:r w:rsidRPr="00484AE0">
              <w:t>24,08</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8E5BA6F" w14:textId="77777777" w:rsidR="0046020E" w:rsidRPr="00484AE0" w:rsidRDefault="0046020E" w:rsidP="002A04BE">
            <w:pPr>
              <w:spacing w:after="0"/>
              <w:jc w:val="center"/>
              <w:rPr>
                <w:rFonts w:ascii="Garamond" w:hAnsi="Garamond"/>
                <w:szCs w:val="20"/>
              </w:rPr>
            </w:pPr>
            <w:r w:rsidRPr="00484AE0">
              <w:t>34,39</w:t>
            </w:r>
          </w:p>
        </w:tc>
        <w:tc>
          <w:tcPr>
            <w:tcW w:w="1259" w:type="dxa"/>
            <w:tcBorders>
              <w:top w:val="single" w:sz="6" w:space="0" w:color="000000"/>
              <w:left w:val="single" w:sz="6" w:space="0" w:color="000000"/>
              <w:bottom w:val="single" w:sz="6" w:space="0" w:color="000000"/>
              <w:right w:val="single" w:sz="6" w:space="0" w:color="000000"/>
            </w:tcBorders>
          </w:tcPr>
          <w:p w14:paraId="402E0133" w14:textId="77777777" w:rsidR="0046020E" w:rsidRPr="00484AE0" w:rsidRDefault="0046020E" w:rsidP="002A04BE">
            <w:pPr>
              <w:spacing w:after="0"/>
              <w:jc w:val="center"/>
              <w:rPr>
                <w:rFonts w:ascii="Calibri" w:hAnsi="Calibri"/>
                <w:color w:val="000000"/>
                <w:szCs w:val="20"/>
              </w:rPr>
            </w:pPr>
            <w:r w:rsidRPr="00484AE0">
              <w:t>14,90</w:t>
            </w:r>
          </w:p>
        </w:tc>
        <w:tc>
          <w:tcPr>
            <w:tcW w:w="1276" w:type="dxa"/>
            <w:tcBorders>
              <w:top w:val="single" w:sz="6" w:space="0" w:color="000000"/>
              <w:left w:val="single" w:sz="6" w:space="0" w:color="000000"/>
              <w:bottom w:val="single" w:sz="6" w:space="0" w:color="000000"/>
              <w:right w:val="single" w:sz="6" w:space="0" w:color="000000"/>
            </w:tcBorders>
          </w:tcPr>
          <w:p w14:paraId="3FF0E94E" w14:textId="77777777" w:rsidR="0046020E" w:rsidRPr="00484AE0" w:rsidRDefault="0046020E" w:rsidP="002A04BE">
            <w:pPr>
              <w:spacing w:after="0"/>
              <w:jc w:val="center"/>
              <w:rPr>
                <w:rFonts w:ascii="Garamond" w:hAnsi="Garamond"/>
                <w:szCs w:val="20"/>
              </w:rPr>
            </w:pPr>
            <w:r w:rsidRPr="00484AE0">
              <w:t>5,22</w:t>
            </w:r>
          </w:p>
        </w:tc>
      </w:tr>
      <w:tr w:rsidR="0046020E" w:rsidRPr="00484AE0" w14:paraId="20979A76"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7C301F57" w14:textId="77777777" w:rsidR="0046020E" w:rsidRPr="00484AE0" w:rsidRDefault="0046020E" w:rsidP="002A04BE">
            <w:pPr>
              <w:spacing w:after="0"/>
              <w:rPr>
                <w:rFonts w:cstheme="minorHAnsi"/>
                <w:szCs w:val="16"/>
              </w:rPr>
            </w:pPr>
            <w:r w:rsidRPr="00484AE0">
              <w:rPr>
                <w:rFonts w:cstheme="minorHAnsi"/>
                <w:szCs w:val="16"/>
              </w:rPr>
              <w:t>Rzeki wartość maksymalna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5D2F3A26" w14:textId="77777777" w:rsidR="0046020E" w:rsidRPr="00484AE0" w:rsidRDefault="0046020E" w:rsidP="002A04BE">
            <w:pPr>
              <w:spacing w:after="0"/>
              <w:jc w:val="center"/>
              <w:rPr>
                <w:rFonts w:ascii="Garamond" w:hAnsi="Garamond"/>
                <w:szCs w:val="20"/>
              </w:rPr>
            </w:pPr>
            <w:r w:rsidRPr="00484AE0">
              <w:t>30,82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7D6B338" w14:textId="77777777" w:rsidR="0046020E" w:rsidRPr="00484AE0" w:rsidRDefault="0046020E" w:rsidP="002A04BE">
            <w:pPr>
              <w:spacing w:after="0"/>
              <w:jc w:val="center"/>
              <w:rPr>
                <w:rFonts w:ascii="Garamond" w:hAnsi="Garamond"/>
                <w:szCs w:val="20"/>
              </w:rPr>
            </w:pPr>
            <w:r w:rsidRPr="00484AE0">
              <w:t>21,53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2A66F5F" w14:textId="77777777" w:rsidR="0046020E" w:rsidRPr="00484AE0" w:rsidRDefault="0046020E" w:rsidP="002A04BE">
            <w:pPr>
              <w:spacing w:after="0"/>
              <w:jc w:val="center"/>
              <w:rPr>
                <w:rFonts w:ascii="Garamond" w:hAnsi="Garamond"/>
                <w:szCs w:val="20"/>
              </w:rPr>
            </w:pPr>
            <w:r w:rsidRPr="00484AE0">
              <w:t>19,68</w:t>
            </w:r>
          </w:p>
        </w:tc>
        <w:tc>
          <w:tcPr>
            <w:tcW w:w="1259" w:type="dxa"/>
            <w:tcBorders>
              <w:top w:val="single" w:sz="6" w:space="0" w:color="000000"/>
              <w:left w:val="single" w:sz="6" w:space="0" w:color="000000"/>
              <w:bottom w:val="single" w:sz="6" w:space="0" w:color="000000"/>
              <w:right w:val="single" w:sz="6" w:space="0" w:color="000000"/>
            </w:tcBorders>
          </w:tcPr>
          <w:p w14:paraId="460B4516" w14:textId="77777777" w:rsidR="0046020E" w:rsidRPr="00484AE0" w:rsidRDefault="0046020E" w:rsidP="002A04BE">
            <w:pPr>
              <w:spacing w:after="0"/>
              <w:jc w:val="center"/>
              <w:rPr>
                <w:rFonts w:ascii="Calibri" w:hAnsi="Calibri"/>
                <w:color w:val="000000"/>
                <w:szCs w:val="20"/>
              </w:rPr>
            </w:pPr>
            <w:r w:rsidRPr="00484AE0">
              <w:t>13,00</w:t>
            </w:r>
          </w:p>
        </w:tc>
        <w:tc>
          <w:tcPr>
            <w:tcW w:w="1276" w:type="dxa"/>
            <w:tcBorders>
              <w:top w:val="single" w:sz="6" w:space="0" w:color="000000"/>
              <w:left w:val="single" w:sz="6" w:space="0" w:color="000000"/>
              <w:bottom w:val="single" w:sz="6" w:space="0" w:color="000000"/>
              <w:right w:val="single" w:sz="6" w:space="0" w:color="000000"/>
            </w:tcBorders>
          </w:tcPr>
          <w:p w14:paraId="396631F7" w14:textId="77777777" w:rsidR="0046020E" w:rsidRPr="00484AE0" w:rsidRDefault="0046020E" w:rsidP="002A04BE">
            <w:pPr>
              <w:spacing w:after="0"/>
              <w:jc w:val="center"/>
              <w:rPr>
                <w:rFonts w:ascii="Garamond" w:hAnsi="Garamond"/>
                <w:szCs w:val="20"/>
              </w:rPr>
            </w:pPr>
            <w:r w:rsidRPr="00484AE0">
              <w:t>14,98</w:t>
            </w:r>
          </w:p>
        </w:tc>
      </w:tr>
      <w:tr w:rsidR="0046020E" w:rsidRPr="00484AE0" w14:paraId="021E8D9A"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730D7083" w14:textId="77777777" w:rsidR="0046020E" w:rsidRPr="00484AE0" w:rsidRDefault="0046020E" w:rsidP="002A04BE">
            <w:pPr>
              <w:spacing w:after="0"/>
              <w:rPr>
                <w:rFonts w:cstheme="minorHAnsi"/>
                <w:szCs w:val="16"/>
              </w:rPr>
            </w:pPr>
            <w:r w:rsidRPr="00484AE0">
              <w:rPr>
                <w:rFonts w:cstheme="minorHAnsi"/>
                <w:szCs w:val="16"/>
              </w:rPr>
              <w:t>Średnia roczna jezior</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65A25503" w14:textId="77777777" w:rsidR="0046020E" w:rsidRPr="00484AE0" w:rsidRDefault="0046020E" w:rsidP="002A04BE">
            <w:pPr>
              <w:spacing w:after="0"/>
              <w:jc w:val="center"/>
              <w:rPr>
                <w:rFonts w:ascii="Garamond" w:hAnsi="Garamond"/>
                <w:szCs w:val="20"/>
              </w:rPr>
            </w:pPr>
            <w:r w:rsidRPr="00484AE0">
              <w:t>12,14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1FA44502" w14:textId="77777777" w:rsidR="0046020E" w:rsidRPr="00484AE0" w:rsidRDefault="0046020E" w:rsidP="002A04BE">
            <w:pPr>
              <w:spacing w:after="0"/>
              <w:jc w:val="center"/>
              <w:rPr>
                <w:rFonts w:ascii="Garamond" w:hAnsi="Garamond"/>
                <w:szCs w:val="20"/>
              </w:rPr>
            </w:pPr>
            <w:r w:rsidRPr="00484AE0">
              <w:t>14,29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BF82D4C" w14:textId="77777777" w:rsidR="0046020E" w:rsidRPr="00484AE0" w:rsidRDefault="0046020E" w:rsidP="002A04BE">
            <w:pPr>
              <w:spacing w:after="0"/>
              <w:jc w:val="center"/>
              <w:rPr>
                <w:rFonts w:ascii="Garamond" w:hAnsi="Garamond"/>
                <w:szCs w:val="20"/>
              </w:rPr>
            </w:pPr>
            <w:r w:rsidRPr="00484AE0">
              <w:t>71,43</w:t>
            </w:r>
          </w:p>
        </w:tc>
        <w:tc>
          <w:tcPr>
            <w:tcW w:w="1259" w:type="dxa"/>
            <w:tcBorders>
              <w:top w:val="single" w:sz="6" w:space="0" w:color="000000"/>
              <w:left w:val="single" w:sz="6" w:space="0" w:color="000000"/>
              <w:bottom w:val="single" w:sz="6" w:space="0" w:color="000000"/>
              <w:right w:val="single" w:sz="6" w:space="0" w:color="000000"/>
            </w:tcBorders>
          </w:tcPr>
          <w:p w14:paraId="7AEEB910" w14:textId="77777777" w:rsidR="0046020E" w:rsidRPr="00484AE0" w:rsidRDefault="0046020E" w:rsidP="002A04BE">
            <w:pPr>
              <w:spacing w:after="0"/>
              <w:jc w:val="center"/>
              <w:rPr>
                <w:rFonts w:ascii="Calibri" w:hAnsi="Calibri"/>
                <w:color w:val="000000"/>
                <w:szCs w:val="20"/>
              </w:rPr>
            </w:pPr>
            <w:r w:rsidRPr="00484AE0">
              <w:t>2,14</w:t>
            </w:r>
          </w:p>
        </w:tc>
        <w:tc>
          <w:tcPr>
            <w:tcW w:w="1276" w:type="dxa"/>
            <w:tcBorders>
              <w:top w:val="single" w:sz="6" w:space="0" w:color="000000"/>
              <w:left w:val="single" w:sz="6" w:space="0" w:color="000000"/>
              <w:bottom w:val="single" w:sz="6" w:space="0" w:color="000000"/>
              <w:right w:val="single" w:sz="6" w:space="0" w:color="000000"/>
            </w:tcBorders>
          </w:tcPr>
          <w:p w14:paraId="333E8FC7" w14:textId="77777777" w:rsidR="0046020E" w:rsidRPr="00484AE0" w:rsidRDefault="0046020E" w:rsidP="002A04BE">
            <w:pPr>
              <w:spacing w:after="0"/>
              <w:jc w:val="center"/>
              <w:rPr>
                <w:rFonts w:ascii="Garamond" w:hAnsi="Garamond"/>
                <w:szCs w:val="20"/>
              </w:rPr>
            </w:pPr>
            <w:r w:rsidRPr="00484AE0">
              <w:t>0,00</w:t>
            </w:r>
          </w:p>
        </w:tc>
      </w:tr>
      <w:tr w:rsidR="0046020E" w:rsidRPr="00484AE0" w14:paraId="531CEF78"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692B0B49" w14:textId="77777777" w:rsidR="0046020E" w:rsidRPr="00484AE0" w:rsidRDefault="0046020E" w:rsidP="002A04BE">
            <w:pPr>
              <w:spacing w:after="0"/>
              <w:rPr>
                <w:rFonts w:cstheme="minorHAnsi"/>
                <w:szCs w:val="16"/>
              </w:rPr>
            </w:pPr>
            <w:r w:rsidRPr="00484AE0">
              <w:rPr>
                <w:rFonts w:cstheme="minorHAnsi"/>
                <w:szCs w:val="16"/>
              </w:rPr>
              <w:t>Średnia zimowa jezior</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35CCE28" w14:textId="77777777" w:rsidR="0046020E" w:rsidRPr="00484AE0" w:rsidRDefault="0046020E" w:rsidP="002A04BE">
            <w:pPr>
              <w:spacing w:after="0"/>
              <w:jc w:val="center"/>
              <w:rPr>
                <w:rFonts w:ascii="Garamond" w:hAnsi="Garamond"/>
                <w:szCs w:val="20"/>
              </w:rPr>
            </w:pPr>
            <w:r w:rsidRPr="00484AE0">
              <w:t>11,43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0A5DAED3" w14:textId="77777777" w:rsidR="0046020E" w:rsidRPr="00484AE0" w:rsidRDefault="0046020E" w:rsidP="002A04BE">
            <w:pPr>
              <w:spacing w:after="0"/>
              <w:jc w:val="center"/>
              <w:rPr>
                <w:rFonts w:ascii="Garamond" w:hAnsi="Garamond"/>
                <w:szCs w:val="20"/>
              </w:rPr>
            </w:pPr>
            <w:r w:rsidRPr="00484AE0">
              <w:t>15,71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47088368" w14:textId="77777777" w:rsidR="0046020E" w:rsidRPr="00484AE0" w:rsidRDefault="0046020E" w:rsidP="002A04BE">
            <w:pPr>
              <w:spacing w:after="0"/>
              <w:jc w:val="center"/>
              <w:rPr>
                <w:rFonts w:ascii="Garamond" w:hAnsi="Garamond"/>
                <w:szCs w:val="20"/>
              </w:rPr>
            </w:pPr>
            <w:r w:rsidRPr="00484AE0">
              <w:t>70,71</w:t>
            </w:r>
          </w:p>
        </w:tc>
        <w:tc>
          <w:tcPr>
            <w:tcW w:w="1259" w:type="dxa"/>
            <w:tcBorders>
              <w:top w:val="single" w:sz="6" w:space="0" w:color="000000"/>
              <w:left w:val="single" w:sz="6" w:space="0" w:color="000000"/>
              <w:bottom w:val="single" w:sz="6" w:space="0" w:color="000000"/>
              <w:right w:val="single" w:sz="6" w:space="0" w:color="000000"/>
            </w:tcBorders>
          </w:tcPr>
          <w:p w14:paraId="2CA613CF" w14:textId="77777777" w:rsidR="0046020E" w:rsidRPr="00484AE0" w:rsidRDefault="0046020E" w:rsidP="002A04BE">
            <w:pPr>
              <w:spacing w:after="0"/>
              <w:jc w:val="center"/>
              <w:rPr>
                <w:rFonts w:ascii="Calibri" w:hAnsi="Calibri"/>
                <w:color w:val="000000"/>
                <w:szCs w:val="20"/>
              </w:rPr>
            </w:pPr>
            <w:r w:rsidRPr="00484AE0">
              <w:t>2,14</w:t>
            </w:r>
          </w:p>
        </w:tc>
        <w:tc>
          <w:tcPr>
            <w:tcW w:w="1276" w:type="dxa"/>
            <w:tcBorders>
              <w:top w:val="single" w:sz="6" w:space="0" w:color="000000"/>
              <w:left w:val="single" w:sz="6" w:space="0" w:color="000000"/>
              <w:bottom w:val="single" w:sz="6" w:space="0" w:color="000000"/>
              <w:right w:val="single" w:sz="6" w:space="0" w:color="000000"/>
            </w:tcBorders>
          </w:tcPr>
          <w:p w14:paraId="7A52BCAB" w14:textId="77777777" w:rsidR="0046020E" w:rsidRPr="00484AE0" w:rsidRDefault="0046020E" w:rsidP="002A04BE">
            <w:pPr>
              <w:spacing w:after="0"/>
              <w:jc w:val="center"/>
              <w:rPr>
                <w:rFonts w:ascii="Garamond" w:hAnsi="Garamond"/>
                <w:szCs w:val="20"/>
              </w:rPr>
            </w:pPr>
            <w:r w:rsidRPr="00484AE0">
              <w:t>0,00</w:t>
            </w:r>
          </w:p>
        </w:tc>
      </w:tr>
      <w:tr w:rsidR="0046020E" w:rsidRPr="00484AE0" w14:paraId="5BB09C57"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181BB878" w14:textId="77777777" w:rsidR="0046020E" w:rsidRPr="00484AE0" w:rsidRDefault="0046020E" w:rsidP="002A04BE">
            <w:pPr>
              <w:spacing w:after="0"/>
              <w:rPr>
                <w:rFonts w:cstheme="minorHAnsi"/>
                <w:szCs w:val="16"/>
              </w:rPr>
            </w:pPr>
            <w:r w:rsidRPr="00484AE0">
              <w:rPr>
                <w:rFonts w:cstheme="minorHAnsi"/>
                <w:szCs w:val="16"/>
              </w:rPr>
              <w:t>Jeziora wartość maksymalna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7A80A051" w14:textId="77777777" w:rsidR="0046020E" w:rsidRPr="00484AE0" w:rsidRDefault="0046020E" w:rsidP="002A04BE">
            <w:pPr>
              <w:spacing w:after="0"/>
              <w:jc w:val="center"/>
              <w:rPr>
                <w:rFonts w:ascii="Garamond" w:hAnsi="Garamond"/>
                <w:szCs w:val="20"/>
              </w:rPr>
            </w:pPr>
            <w:r w:rsidRPr="00484AE0">
              <w:t>22,14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39343A1" w14:textId="77777777" w:rsidR="0046020E" w:rsidRPr="00484AE0" w:rsidRDefault="0046020E" w:rsidP="002A04BE">
            <w:pPr>
              <w:spacing w:after="0"/>
              <w:jc w:val="center"/>
              <w:rPr>
                <w:rFonts w:ascii="Garamond" w:hAnsi="Garamond"/>
                <w:szCs w:val="20"/>
              </w:rPr>
            </w:pPr>
            <w:r w:rsidRPr="00484AE0">
              <w:t>21,43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14:paraId="3396493C" w14:textId="77777777" w:rsidR="0046020E" w:rsidRPr="00484AE0" w:rsidRDefault="0046020E" w:rsidP="002A04BE">
            <w:pPr>
              <w:spacing w:after="0"/>
              <w:jc w:val="center"/>
              <w:rPr>
                <w:rFonts w:ascii="Garamond" w:hAnsi="Garamond"/>
                <w:szCs w:val="20"/>
              </w:rPr>
            </w:pPr>
            <w:r w:rsidRPr="00484AE0">
              <w:t>50,71</w:t>
            </w:r>
          </w:p>
        </w:tc>
        <w:tc>
          <w:tcPr>
            <w:tcW w:w="1259" w:type="dxa"/>
            <w:tcBorders>
              <w:top w:val="single" w:sz="6" w:space="0" w:color="000000"/>
              <w:left w:val="single" w:sz="6" w:space="0" w:color="000000"/>
              <w:bottom w:val="single" w:sz="6" w:space="0" w:color="000000"/>
              <w:right w:val="single" w:sz="6" w:space="0" w:color="000000"/>
            </w:tcBorders>
          </w:tcPr>
          <w:p w14:paraId="27846328" w14:textId="77777777" w:rsidR="0046020E" w:rsidRPr="00484AE0" w:rsidRDefault="0046020E" w:rsidP="002A04BE">
            <w:pPr>
              <w:spacing w:after="0"/>
              <w:jc w:val="center"/>
              <w:rPr>
                <w:rFonts w:ascii="Calibri" w:hAnsi="Calibri"/>
                <w:color w:val="000000"/>
                <w:szCs w:val="20"/>
              </w:rPr>
            </w:pPr>
            <w:r w:rsidRPr="00484AE0">
              <w:t>3,57</w:t>
            </w:r>
          </w:p>
        </w:tc>
        <w:tc>
          <w:tcPr>
            <w:tcW w:w="1276" w:type="dxa"/>
            <w:tcBorders>
              <w:top w:val="single" w:sz="6" w:space="0" w:color="000000"/>
              <w:left w:val="single" w:sz="6" w:space="0" w:color="000000"/>
              <w:bottom w:val="single" w:sz="6" w:space="0" w:color="000000"/>
              <w:right w:val="single" w:sz="6" w:space="0" w:color="000000"/>
            </w:tcBorders>
          </w:tcPr>
          <w:p w14:paraId="1CDCBFA3" w14:textId="77777777" w:rsidR="0046020E" w:rsidRPr="00484AE0" w:rsidRDefault="0046020E" w:rsidP="002A04BE">
            <w:pPr>
              <w:spacing w:after="0"/>
              <w:jc w:val="center"/>
              <w:rPr>
                <w:rFonts w:ascii="Garamond" w:hAnsi="Garamond"/>
                <w:szCs w:val="20"/>
              </w:rPr>
            </w:pPr>
            <w:r w:rsidRPr="00484AE0">
              <w:t>2,14</w:t>
            </w:r>
          </w:p>
        </w:tc>
      </w:tr>
    </w:tbl>
    <w:p w14:paraId="1332B5E1" w14:textId="77777777" w:rsidR="0046020E" w:rsidRPr="00484AE0" w:rsidRDefault="0046020E" w:rsidP="002A04BE">
      <w:pPr>
        <w:spacing w:after="0"/>
      </w:pPr>
    </w:p>
    <w:p w14:paraId="1B7828C5" w14:textId="5D951EA6" w:rsidR="0046020E" w:rsidRPr="00484AE0" w:rsidRDefault="0046020E" w:rsidP="00397E41">
      <w:pPr>
        <w:jc w:val="both"/>
        <w:rPr>
          <w:bCs/>
        </w:rPr>
      </w:pPr>
      <w:r w:rsidRPr="00484AE0">
        <w:t xml:space="preserve">Analiza tendencji zmian wartości średnich rocznych azotanów dla analizowanych JCWP rzecznych wykazała, iż </w:t>
      </w:r>
      <w:r w:rsidRPr="00484AE0">
        <w:rPr>
          <w:rFonts w:cs="ArialNarrow"/>
        </w:rPr>
        <w:t>największy odsetek punktów pomiarowych (41,42%) mieści się w stabilnej klasie tendencji zmian, czyli w przedziale</w:t>
      </w:r>
      <w:r w:rsidRPr="00484AE0">
        <w:t xml:space="preserve"> od -1 do 1 </w:t>
      </w:r>
      <w:r w:rsidRPr="00484AE0">
        <w:rPr>
          <w:bCs/>
        </w:rPr>
        <w:t>mg NO</w:t>
      </w:r>
      <w:r w:rsidRPr="00484AE0">
        <w:rPr>
          <w:bCs/>
          <w:vertAlign w:val="subscript"/>
        </w:rPr>
        <w:t>3</w:t>
      </w:r>
      <w:r w:rsidRPr="00484AE0">
        <w:rPr>
          <w:bCs/>
        </w:rPr>
        <w:t>/l. W 44,54% punktów zaobserwowano zmiany spadkowe pomiędzy analizowanymi okresami, a w 14,04% zmiany wzrostowe. Znaczny spadek (-5 mg NO</w:t>
      </w:r>
      <w:r w:rsidRPr="00484AE0">
        <w:rPr>
          <w:bCs/>
          <w:vertAlign w:val="subscript"/>
        </w:rPr>
        <w:t>3</w:t>
      </w:r>
      <w:r w:rsidRPr="00484AE0">
        <w:rPr>
          <w:bCs/>
        </w:rPr>
        <w:t xml:space="preserve">/l) odnotowano aż w 18,37% </w:t>
      </w:r>
      <w:proofErr w:type="spellStart"/>
      <w:r w:rsidRPr="00484AE0">
        <w:rPr>
          <w:bCs/>
        </w:rPr>
        <w:t>ppk</w:t>
      </w:r>
      <w:proofErr w:type="spellEnd"/>
      <w:r w:rsidRPr="00484AE0">
        <w:rPr>
          <w:bCs/>
        </w:rPr>
        <w:t xml:space="preserve">. </w:t>
      </w:r>
      <w:r w:rsidRPr="00484AE0">
        <w:t xml:space="preserve">Na podobnym poziomie kształtują się również tendencje zmian wartości średnich zimowych, dla których znaczny spadek odnotowano w 21,40% </w:t>
      </w:r>
      <w:proofErr w:type="spellStart"/>
      <w:r w:rsidRPr="00484AE0">
        <w:t>ppk</w:t>
      </w:r>
      <w:proofErr w:type="spellEnd"/>
      <w:r w:rsidRPr="00484AE0">
        <w:t>. W przypadku wartości maksymalnych</w:t>
      </w:r>
      <w:r w:rsidR="0011419B">
        <w:t>,</w:t>
      </w:r>
      <w:r w:rsidRPr="00484AE0">
        <w:t xml:space="preserve"> aż 30,82% </w:t>
      </w:r>
      <w:proofErr w:type="spellStart"/>
      <w:r w:rsidRPr="00484AE0">
        <w:t>ppk</w:t>
      </w:r>
      <w:proofErr w:type="spellEnd"/>
      <w:r w:rsidRPr="00484AE0">
        <w:t xml:space="preserve"> rzek wykazało znaczny spadek maksymalnych stężeń azotanów. </w:t>
      </w:r>
    </w:p>
    <w:p w14:paraId="6BC0D199" w14:textId="77777777" w:rsidR="0046020E" w:rsidRPr="00484AE0" w:rsidRDefault="0046020E" w:rsidP="002A04BE">
      <w:pPr>
        <w:jc w:val="both"/>
      </w:pPr>
      <w:r w:rsidRPr="00484AE0">
        <w:t xml:space="preserve">Analiza tendencji zmian wartości średnich rocznych azotanów dla analizowanych JCWP jeziornych wykazała, iż </w:t>
      </w:r>
      <w:r w:rsidRPr="00484AE0">
        <w:rPr>
          <w:rFonts w:cs="ArialNarrow"/>
        </w:rPr>
        <w:t>największy odsetek punktów pomiarowych (71,43%) mieści się w stabilnej klasie tendencji zmian, czyli w przedziale</w:t>
      </w:r>
      <w:r w:rsidRPr="00484AE0">
        <w:t xml:space="preserve"> od -1 do 1 </w:t>
      </w:r>
      <w:r w:rsidRPr="00484AE0">
        <w:rPr>
          <w:bCs/>
        </w:rPr>
        <w:t>mg NO</w:t>
      </w:r>
      <w:r w:rsidRPr="00484AE0">
        <w:rPr>
          <w:bCs/>
          <w:vertAlign w:val="subscript"/>
        </w:rPr>
        <w:t>3</w:t>
      </w:r>
      <w:r w:rsidRPr="00484AE0">
        <w:rPr>
          <w:bCs/>
        </w:rPr>
        <w:t>/l. W 26,43% punktów zaobserwowano zmiany spadkowe pomiędzy analizowanymi okresami, a w 2,14% zmiany wzrostowe. Znaczny spadek (-5 mg NO</w:t>
      </w:r>
      <w:r w:rsidRPr="00484AE0">
        <w:rPr>
          <w:bCs/>
          <w:vertAlign w:val="subscript"/>
        </w:rPr>
        <w:t>3</w:t>
      </w:r>
      <w:r w:rsidRPr="00484AE0">
        <w:rPr>
          <w:bCs/>
        </w:rPr>
        <w:t xml:space="preserve">/l) odnotowano w 12,14% </w:t>
      </w:r>
      <w:proofErr w:type="spellStart"/>
      <w:r w:rsidRPr="00484AE0">
        <w:rPr>
          <w:bCs/>
        </w:rPr>
        <w:t>ppk</w:t>
      </w:r>
      <w:proofErr w:type="spellEnd"/>
      <w:r w:rsidRPr="00484AE0">
        <w:rPr>
          <w:bCs/>
        </w:rPr>
        <w:t xml:space="preserve">. </w:t>
      </w:r>
      <w:r w:rsidRPr="00484AE0">
        <w:t xml:space="preserve">Na podobnym poziomie kształtują się również tendencje zmian wartości średnich zimowych, dla których znaczny spadek odnotowano w 11,43% </w:t>
      </w:r>
      <w:proofErr w:type="spellStart"/>
      <w:r w:rsidRPr="00484AE0">
        <w:t>ppk</w:t>
      </w:r>
      <w:proofErr w:type="spellEnd"/>
      <w:r w:rsidRPr="00484AE0">
        <w:t xml:space="preserve">. W przypadku wartości maksymalnych, 22,14% </w:t>
      </w:r>
      <w:proofErr w:type="spellStart"/>
      <w:r w:rsidRPr="00484AE0">
        <w:t>ppk</w:t>
      </w:r>
      <w:proofErr w:type="spellEnd"/>
      <w:r w:rsidRPr="00484AE0">
        <w:t xml:space="preserve"> jezior wykazało znaczny spadek maksymalnych stężeń azotanów. </w:t>
      </w:r>
    </w:p>
    <w:p w14:paraId="5F35D816" w14:textId="049A9D3F" w:rsidR="0046020E" w:rsidRPr="00484AE0" w:rsidRDefault="0046020E" w:rsidP="002A04BE">
      <w:pPr>
        <w:jc w:val="both"/>
      </w:pPr>
      <w:r w:rsidRPr="00484AE0">
        <w:lastRenderedPageBreak/>
        <w:t>W poniższej tabeli przedstawiono dane dotyczące tendencji zmian stężenia azotanów w wodach przejściowych i przybrzeżnych na podstawie średnich i maksymalnych wartości we wspólnych punktach pomiarowych dla lat 2016-2019 oraz 2020</w:t>
      </w:r>
      <w:r w:rsidR="0011419B">
        <w:t xml:space="preserve"> r</w:t>
      </w:r>
      <w:r w:rsidRPr="00484AE0">
        <w:t>.</w:t>
      </w:r>
    </w:p>
    <w:p w14:paraId="00B6B580" w14:textId="0FE381DC" w:rsidR="0046020E" w:rsidRPr="00397E41" w:rsidRDefault="0046020E" w:rsidP="00397E41">
      <w:pPr>
        <w:pStyle w:val="Legenda"/>
        <w:spacing w:before="120" w:after="0" w:line="259" w:lineRule="auto"/>
        <w:jc w:val="both"/>
        <w:rPr>
          <w:i w:val="0"/>
          <w:iCs w:val="0"/>
          <w:color w:val="2F5496" w:themeColor="accent1" w:themeShade="BF"/>
          <w:sz w:val="20"/>
          <w:szCs w:val="20"/>
        </w:rPr>
      </w:pPr>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Pr="00397E41">
        <w:rPr>
          <w:i w:val="0"/>
          <w:iCs w:val="0"/>
          <w:color w:val="2F5496" w:themeColor="accent1" w:themeShade="BF"/>
          <w:sz w:val="20"/>
          <w:szCs w:val="20"/>
        </w:rPr>
        <w:t>5</w:t>
      </w:r>
      <w:r w:rsidRPr="00397E41">
        <w:rPr>
          <w:i w:val="0"/>
          <w:iCs w:val="0"/>
          <w:color w:val="2F5496" w:themeColor="accent1" w:themeShade="BF"/>
          <w:sz w:val="20"/>
          <w:szCs w:val="20"/>
        </w:rPr>
        <w:fldChar w:fldCharType="end"/>
      </w:r>
      <w:r w:rsidRPr="00397E41">
        <w:rPr>
          <w:i w:val="0"/>
          <w:iCs w:val="0"/>
          <w:color w:val="2F5496" w:themeColor="accent1" w:themeShade="BF"/>
          <w:sz w:val="20"/>
          <w:szCs w:val="20"/>
        </w:rPr>
        <w:t xml:space="preserve">. Tendencje zmian stężenia azotanów w wodach przejściowych i przybrzeżnych na podstawie średnich </w:t>
      </w:r>
      <w:r w:rsidR="0011419B">
        <w:rPr>
          <w:i w:val="0"/>
          <w:iCs w:val="0"/>
          <w:color w:val="2F5496" w:themeColor="accent1" w:themeShade="BF"/>
          <w:sz w:val="20"/>
          <w:szCs w:val="20"/>
        </w:rPr>
        <w:br/>
      </w:r>
      <w:r w:rsidRPr="00397E41">
        <w:rPr>
          <w:i w:val="0"/>
          <w:iCs w:val="0"/>
          <w:color w:val="2F5496" w:themeColor="accent1" w:themeShade="BF"/>
          <w:sz w:val="20"/>
          <w:szCs w:val="20"/>
        </w:rPr>
        <w:t xml:space="preserve">i maksymalnych wartości we wspólnych punktach pomiarowych </w:t>
      </w:r>
      <w:r w:rsidR="002F4B59">
        <w:rPr>
          <w:i w:val="0"/>
          <w:iCs w:val="0"/>
          <w:color w:val="2F5496" w:themeColor="accent1" w:themeShade="BF"/>
          <w:sz w:val="20"/>
          <w:szCs w:val="20"/>
        </w:rPr>
        <w:t>w okresie 2016- 2019 i w 2020 r.</w:t>
      </w:r>
    </w:p>
    <w:tbl>
      <w:tblPr>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86"/>
        <w:gridCol w:w="1134"/>
        <w:gridCol w:w="1134"/>
        <w:gridCol w:w="1134"/>
        <w:gridCol w:w="1259"/>
        <w:gridCol w:w="1276"/>
      </w:tblGrid>
      <w:tr w:rsidR="0046020E" w:rsidRPr="00484AE0" w14:paraId="24C0975D" w14:textId="77777777" w:rsidTr="00B206A6">
        <w:trPr>
          <w:trHeight w:val="450"/>
          <w:tblHeader/>
        </w:trPr>
        <w:tc>
          <w:tcPr>
            <w:tcW w:w="2986" w:type="dxa"/>
            <w:vMerge w:val="restart"/>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7C5DAC1D" w14:textId="4EB537AF" w:rsidR="0046020E" w:rsidRPr="00484AE0" w:rsidRDefault="00B64C25" w:rsidP="002A04BE">
            <w:pPr>
              <w:spacing w:after="0"/>
              <w:jc w:val="center"/>
              <w:rPr>
                <w:rFonts w:ascii="Garamond" w:hAnsi="Garamond"/>
                <w:color w:val="FFFFFF" w:themeColor="background1"/>
              </w:rPr>
            </w:pPr>
            <w:r>
              <w:rPr>
                <w:rFonts w:cstheme="minorHAnsi"/>
                <w:color w:val="FFFFFF" w:themeColor="background1"/>
              </w:rPr>
              <w:t>Stężenia ś</w:t>
            </w:r>
            <w:r w:rsidRPr="00484AE0">
              <w:rPr>
                <w:rFonts w:cstheme="minorHAnsi"/>
                <w:color w:val="FFFFFF" w:themeColor="background1"/>
              </w:rPr>
              <w:t>rednie/ maksymalne dla kategorii wód</w:t>
            </w:r>
          </w:p>
        </w:tc>
        <w:tc>
          <w:tcPr>
            <w:tcW w:w="5937" w:type="dxa"/>
            <w:gridSpan w:val="5"/>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30A0D2B8" w14:textId="19E9BC9A" w:rsidR="0046020E" w:rsidRPr="00484AE0" w:rsidRDefault="0046020E" w:rsidP="002A04BE">
            <w:pPr>
              <w:spacing w:after="0"/>
              <w:jc w:val="center"/>
              <w:rPr>
                <w:color w:val="FFFFFF" w:themeColor="background1"/>
                <w:szCs w:val="20"/>
              </w:rPr>
            </w:pPr>
            <w:r w:rsidRPr="00484AE0">
              <w:rPr>
                <w:color w:val="FFFFFF" w:themeColor="background1"/>
              </w:rPr>
              <w:t>% punktów ze zmianą stężeń azotanów [mg NO</w:t>
            </w:r>
            <w:r w:rsidRPr="00484AE0">
              <w:rPr>
                <w:color w:val="FFFFFF" w:themeColor="background1"/>
                <w:vertAlign w:val="subscript"/>
              </w:rPr>
              <w:t>3</w:t>
            </w:r>
            <w:r w:rsidRPr="00484AE0">
              <w:rPr>
                <w:color w:val="FFFFFF" w:themeColor="background1"/>
              </w:rPr>
              <w:t>/l] w przedziale</w:t>
            </w:r>
          </w:p>
        </w:tc>
      </w:tr>
      <w:tr w:rsidR="0046020E" w:rsidRPr="00484AE0" w14:paraId="272EB813" w14:textId="77777777" w:rsidTr="00160BD4">
        <w:trPr>
          <w:trHeight w:val="340"/>
          <w:tblHeader/>
        </w:trPr>
        <w:tc>
          <w:tcPr>
            <w:tcW w:w="2986" w:type="dxa"/>
            <w:vMerge/>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0B7B9F4F" w14:textId="77777777" w:rsidR="0046020E" w:rsidRPr="00484AE0" w:rsidRDefault="0046020E" w:rsidP="002A04BE">
            <w:pPr>
              <w:spacing w:after="0"/>
              <w:rPr>
                <w:rFonts w:ascii="Garamond" w:hAnsi="Garamond"/>
                <w:color w:val="FFFFFF" w:themeColor="background1"/>
              </w:rPr>
            </w:pPr>
          </w:p>
        </w:tc>
        <w:tc>
          <w:tcPr>
            <w:tcW w:w="1134"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209B48FB" w14:textId="77777777" w:rsidR="0046020E" w:rsidRPr="00484AE0" w:rsidRDefault="0046020E" w:rsidP="002A04BE">
            <w:pPr>
              <w:spacing w:after="0"/>
              <w:jc w:val="center"/>
              <w:rPr>
                <w:color w:val="FFFFFF" w:themeColor="background1"/>
                <w:szCs w:val="20"/>
              </w:rPr>
            </w:pPr>
            <w:r w:rsidRPr="00484AE0">
              <w:rPr>
                <w:color w:val="FFFFFF" w:themeColor="background1"/>
              </w:rPr>
              <w:t>&lt; - 5</w:t>
            </w:r>
          </w:p>
        </w:tc>
        <w:tc>
          <w:tcPr>
            <w:tcW w:w="1134"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004B9044" w14:textId="77777777" w:rsidR="0046020E" w:rsidRPr="00484AE0" w:rsidRDefault="0046020E" w:rsidP="002A04BE">
            <w:pPr>
              <w:spacing w:after="0"/>
              <w:jc w:val="center"/>
              <w:rPr>
                <w:color w:val="FFFFFF" w:themeColor="background1"/>
                <w:szCs w:val="20"/>
              </w:rPr>
            </w:pPr>
            <w:r w:rsidRPr="00484AE0">
              <w:rPr>
                <w:color w:val="FFFFFF" w:themeColor="background1"/>
              </w:rPr>
              <w:t>≥ -5 i &lt; -1</w:t>
            </w:r>
          </w:p>
        </w:tc>
        <w:tc>
          <w:tcPr>
            <w:tcW w:w="1134"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6DEA3454" w14:textId="77777777" w:rsidR="0046020E" w:rsidRPr="00484AE0" w:rsidRDefault="0046020E" w:rsidP="002A04BE">
            <w:pPr>
              <w:spacing w:after="0"/>
              <w:jc w:val="center"/>
              <w:rPr>
                <w:color w:val="FFFFFF" w:themeColor="background1"/>
                <w:szCs w:val="20"/>
              </w:rPr>
            </w:pPr>
            <w:r w:rsidRPr="00484AE0">
              <w:rPr>
                <w:color w:val="FFFFFF" w:themeColor="background1"/>
              </w:rPr>
              <w:t>≥ -1 i ≤ +1</w:t>
            </w:r>
          </w:p>
        </w:tc>
        <w:tc>
          <w:tcPr>
            <w:tcW w:w="1259"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4CE65A20" w14:textId="77777777" w:rsidR="0046020E" w:rsidRPr="00484AE0" w:rsidRDefault="0046020E" w:rsidP="002A04BE">
            <w:pPr>
              <w:spacing w:after="0"/>
              <w:jc w:val="center"/>
              <w:rPr>
                <w:color w:val="FFFFFF" w:themeColor="background1"/>
                <w:szCs w:val="20"/>
              </w:rPr>
            </w:pPr>
            <w:r w:rsidRPr="00484AE0">
              <w:rPr>
                <w:color w:val="FFFFFF" w:themeColor="background1"/>
              </w:rPr>
              <w:t>&gt; +1 i ≤ +5</w:t>
            </w:r>
          </w:p>
        </w:tc>
        <w:tc>
          <w:tcPr>
            <w:tcW w:w="1276"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tcPr>
          <w:p w14:paraId="3C1C5D29" w14:textId="77777777" w:rsidR="0046020E" w:rsidRPr="00484AE0" w:rsidRDefault="0046020E" w:rsidP="002A04BE">
            <w:pPr>
              <w:spacing w:after="0"/>
              <w:jc w:val="center"/>
              <w:rPr>
                <w:color w:val="FFFFFF" w:themeColor="background1"/>
                <w:szCs w:val="20"/>
              </w:rPr>
            </w:pPr>
            <w:r w:rsidRPr="00484AE0">
              <w:rPr>
                <w:color w:val="FFFFFF" w:themeColor="background1"/>
              </w:rPr>
              <w:t>&gt; +5</w:t>
            </w:r>
          </w:p>
        </w:tc>
      </w:tr>
      <w:tr w:rsidR="0046020E" w:rsidRPr="00484AE0" w14:paraId="32A046C5"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465883FF" w14:textId="77777777" w:rsidR="0046020E" w:rsidRPr="00484AE0" w:rsidRDefault="0046020E" w:rsidP="002A04BE">
            <w:pPr>
              <w:spacing w:after="0"/>
              <w:rPr>
                <w:rFonts w:cstheme="minorHAnsi"/>
                <w:szCs w:val="16"/>
              </w:rPr>
            </w:pPr>
            <w:r w:rsidRPr="00484AE0">
              <w:t>Średnia roczna dla wód przejściowych</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CCCB856"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22,22</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4C887E4"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55,56</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C122F0F"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22,22</w:t>
            </w:r>
          </w:p>
        </w:tc>
        <w:tc>
          <w:tcPr>
            <w:tcW w:w="1259" w:type="dxa"/>
            <w:tcBorders>
              <w:top w:val="single" w:sz="6" w:space="0" w:color="000000"/>
              <w:left w:val="single" w:sz="6" w:space="0" w:color="000000"/>
              <w:bottom w:val="single" w:sz="6" w:space="0" w:color="000000"/>
              <w:right w:val="single" w:sz="6" w:space="0" w:color="000000"/>
            </w:tcBorders>
            <w:vAlign w:val="bottom"/>
          </w:tcPr>
          <w:p w14:paraId="60A44E9B"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bottom"/>
          </w:tcPr>
          <w:p w14:paraId="1A686967"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30DD7C37" w14:textId="77777777" w:rsidTr="00160BD4">
        <w:trPr>
          <w:trHeight w:val="249"/>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49C7CFCE" w14:textId="77777777" w:rsidR="0046020E" w:rsidRPr="00484AE0" w:rsidRDefault="0046020E" w:rsidP="002A04BE">
            <w:pPr>
              <w:spacing w:after="0"/>
              <w:rPr>
                <w:rFonts w:cstheme="minorHAnsi"/>
                <w:szCs w:val="16"/>
              </w:rPr>
            </w:pPr>
            <w:r w:rsidRPr="00484AE0">
              <w:t>Średnia zimowa dla wód przejściowych</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7BDC51"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66,67</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BFD808"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11,11</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CF851E"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22,22</w:t>
            </w:r>
          </w:p>
        </w:tc>
        <w:tc>
          <w:tcPr>
            <w:tcW w:w="1259" w:type="dxa"/>
            <w:tcBorders>
              <w:top w:val="single" w:sz="6" w:space="0" w:color="000000"/>
              <w:left w:val="single" w:sz="6" w:space="0" w:color="000000"/>
              <w:bottom w:val="single" w:sz="6" w:space="0" w:color="000000"/>
              <w:right w:val="single" w:sz="6" w:space="0" w:color="000000"/>
            </w:tcBorders>
            <w:vAlign w:val="bottom"/>
          </w:tcPr>
          <w:p w14:paraId="3532C46A"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bottom"/>
          </w:tcPr>
          <w:p w14:paraId="77A5DB5D"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59FD7D84"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3BF32684" w14:textId="77777777" w:rsidR="0046020E" w:rsidRPr="00484AE0" w:rsidRDefault="0046020E" w:rsidP="002A04BE">
            <w:pPr>
              <w:spacing w:after="0"/>
              <w:rPr>
                <w:rFonts w:cstheme="minorHAnsi"/>
                <w:szCs w:val="16"/>
              </w:rPr>
            </w:pPr>
            <w:r w:rsidRPr="00484AE0">
              <w:t>Maksymalna wartość dla wód przejściowych</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A197C4D"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88,89</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C29AD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11,11</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ABA4613"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259" w:type="dxa"/>
            <w:tcBorders>
              <w:top w:val="single" w:sz="6" w:space="0" w:color="000000"/>
              <w:left w:val="single" w:sz="6" w:space="0" w:color="000000"/>
              <w:bottom w:val="single" w:sz="6" w:space="0" w:color="000000"/>
              <w:right w:val="single" w:sz="6" w:space="0" w:color="000000"/>
            </w:tcBorders>
            <w:vAlign w:val="bottom"/>
          </w:tcPr>
          <w:p w14:paraId="671F344C"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bottom"/>
          </w:tcPr>
          <w:p w14:paraId="332628F1"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5941257C"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6CC5143B" w14:textId="77777777" w:rsidR="0046020E" w:rsidRPr="00484AE0" w:rsidRDefault="0046020E" w:rsidP="002A04BE">
            <w:pPr>
              <w:spacing w:after="0"/>
              <w:rPr>
                <w:rFonts w:cstheme="minorHAnsi"/>
                <w:szCs w:val="16"/>
              </w:rPr>
            </w:pPr>
            <w:r w:rsidRPr="00484AE0">
              <w:t>Średnia roczna dla wód przybrzeżnych</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FA60F1F"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40,00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09F037D"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60,00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F55831C"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259" w:type="dxa"/>
            <w:tcBorders>
              <w:top w:val="single" w:sz="6" w:space="0" w:color="000000"/>
              <w:left w:val="single" w:sz="6" w:space="0" w:color="000000"/>
              <w:bottom w:val="single" w:sz="6" w:space="0" w:color="000000"/>
              <w:right w:val="single" w:sz="6" w:space="0" w:color="000000"/>
            </w:tcBorders>
            <w:vAlign w:val="bottom"/>
          </w:tcPr>
          <w:p w14:paraId="3E93CBEC"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bottom"/>
          </w:tcPr>
          <w:p w14:paraId="470300C3"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0E68F362"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3347EE6C" w14:textId="77777777" w:rsidR="0046020E" w:rsidRPr="00484AE0" w:rsidRDefault="0046020E" w:rsidP="002A04BE">
            <w:pPr>
              <w:spacing w:after="0"/>
              <w:rPr>
                <w:rFonts w:cstheme="minorHAnsi"/>
                <w:szCs w:val="16"/>
              </w:rPr>
            </w:pPr>
            <w:r w:rsidRPr="00484AE0">
              <w:t>Średnia zimowa dla wód przybrzeżnych</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992800C"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472BE5"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80,00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96BBA5F"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20,00</w:t>
            </w:r>
          </w:p>
        </w:tc>
        <w:tc>
          <w:tcPr>
            <w:tcW w:w="1259" w:type="dxa"/>
            <w:tcBorders>
              <w:top w:val="single" w:sz="6" w:space="0" w:color="000000"/>
              <w:left w:val="single" w:sz="6" w:space="0" w:color="000000"/>
              <w:bottom w:val="single" w:sz="6" w:space="0" w:color="000000"/>
              <w:right w:val="single" w:sz="6" w:space="0" w:color="000000"/>
            </w:tcBorders>
            <w:vAlign w:val="bottom"/>
          </w:tcPr>
          <w:p w14:paraId="24D9A19C"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bottom"/>
          </w:tcPr>
          <w:p w14:paraId="4C19A20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r w:rsidR="0046020E" w:rsidRPr="00484AE0" w14:paraId="5D13ED34" w14:textId="77777777" w:rsidTr="00160BD4">
        <w:trPr>
          <w:trHeight w:val="238"/>
        </w:trPr>
        <w:tc>
          <w:tcPr>
            <w:tcW w:w="2986" w:type="dxa"/>
            <w:tcBorders>
              <w:top w:val="single" w:sz="6" w:space="0" w:color="000000"/>
              <w:left w:val="single" w:sz="6" w:space="0" w:color="000000"/>
              <w:bottom w:val="single" w:sz="6" w:space="0" w:color="000000"/>
              <w:right w:val="single" w:sz="6" w:space="0" w:color="000000"/>
            </w:tcBorders>
            <w:shd w:val="clear" w:color="auto" w:fill="auto"/>
          </w:tcPr>
          <w:p w14:paraId="6B4DA31B" w14:textId="77777777" w:rsidR="0046020E" w:rsidRPr="00484AE0" w:rsidRDefault="0046020E" w:rsidP="002A04BE">
            <w:pPr>
              <w:spacing w:after="0"/>
              <w:rPr>
                <w:rFonts w:cstheme="minorHAnsi"/>
                <w:szCs w:val="16"/>
              </w:rPr>
            </w:pPr>
            <w:r w:rsidRPr="00484AE0">
              <w:t>Maksymalna wartość dla wód przybrzeżnych</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C773EF8"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80,00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5B762D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20,00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756EB02"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c>
          <w:tcPr>
            <w:tcW w:w="1259" w:type="dxa"/>
            <w:tcBorders>
              <w:top w:val="single" w:sz="6" w:space="0" w:color="000000"/>
              <w:left w:val="single" w:sz="6" w:space="0" w:color="000000"/>
              <w:bottom w:val="single" w:sz="6" w:space="0" w:color="000000"/>
              <w:right w:val="single" w:sz="6" w:space="0" w:color="000000"/>
            </w:tcBorders>
            <w:vAlign w:val="bottom"/>
          </w:tcPr>
          <w:p w14:paraId="2C82619A" w14:textId="77777777" w:rsidR="0046020E" w:rsidRPr="00484AE0" w:rsidRDefault="0046020E" w:rsidP="002A04BE">
            <w:pPr>
              <w:spacing w:after="0"/>
              <w:jc w:val="center"/>
              <w:rPr>
                <w:rFonts w:ascii="Calibri" w:hAnsi="Calibri"/>
                <w:color w:val="000000"/>
                <w:szCs w:val="20"/>
              </w:rPr>
            </w:pPr>
            <w:r w:rsidRPr="00484AE0">
              <w:rPr>
                <w:rFonts w:ascii="Calibri" w:hAnsi="Calibri" w:cs="Calibri"/>
                <w:color w:val="000000"/>
              </w:rPr>
              <w:t>0,00</w:t>
            </w:r>
          </w:p>
        </w:tc>
        <w:tc>
          <w:tcPr>
            <w:tcW w:w="1276" w:type="dxa"/>
            <w:tcBorders>
              <w:top w:val="single" w:sz="6" w:space="0" w:color="000000"/>
              <w:left w:val="single" w:sz="6" w:space="0" w:color="000000"/>
              <w:bottom w:val="single" w:sz="6" w:space="0" w:color="000000"/>
              <w:right w:val="single" w:sz="6" w:space="0" w:color="000000"/>
            </w:tcBorders>
            <w:vAlign w:val="bottom"/>
          </w:tcPr>
          <w:p w14:paraId="20E71B6D" w14:textId="77777777" w:rsidR="0046020E" w:rsidRPr="00484AE0" w:rsidRDefault="0046020E" w:rsidP="002A04BE">
            <w:pPr>
              <w:spacing w:after="0"/>
              <w:jc w:val="center"/>
              <w:rPr>
                <w:rFonts w:ascii="Garamond" w:hAnsi="Garamond"/>
                <w:szCs w:val="20"/>
              </w:rPr>
            </w:pPr>
            <w:r w:rsidRPr="00484AE0">
              <w:rPr>
                <w:rFonts w:ascii="Calibri" w:hAnsi="Calibri" w:cs="Calibri"/>
                <w:color w:val="000000"/>
              </w:rPr>
              <w:t>0,00</w:t>
            </w:r>
          </w:p>
        </w:tc>
      </w:tr>
    </w:tbl>
    <w:p w14:paraId="1FACDFF6" w14:textId="77777777" w:rsidR="0046020E" w:rsidRPr="00484AE0" w:rsidRDefault="0046020E" w:rsidP="002A04BE">
      <w:pPr>
        <w:spacing w:after="0"/>
        <w:jc w:val="both"/>
      </w:pPr>
    </w:p>
    <w:p w14:paraId="4618A527" w14:textId="77777777" w:rsidR="0046020E" w:rsidRPr="00484AE0" w:rsidRDefault="0046020E" w:rsidP="002A04BE">
      <w:pPr>
        <w:jc w:val="both"/>
        <w:rPr>
          <w:rFonts w:cs="ArialNarrow"/>
        </w:rPr>
      </w:pPr>
      <w:r w:rsidRPr="00484AE0">
        <w:t xml:space="preserve">Analiza tendencji zmian wartości średnich rocznych azotanów dla analizowanych JCWP przejściowych wykazała, iż </w:t>
      </w:r>
      <w:r w:rsidRPr="00484AE0">
        <w:rPr>
          <w:rFonts w:cs="ArialNarrow"/>
        </w:rPr>
        <w:t xml:space="preserve">największy odsetek punktów pomiarowych (55,56%) charakteryzował się zmianą stężenia azotanów na poziomie od </w:t>
      </w:r>
      <w:r w:rsidRPr="00484AE0">
        <w:t xml:space="preserve">-5 do -1 </w:t>
      </w:r>
      <w:r w:rsidRPr="00484AE0">
        <w:rPr>
          <w:bCs/>
        </w:rPr>
        <w:t>mg NO</w:t>
      </w:r>
      <w:r w:rsidRPr="00484AE0">
        <w:rPr>
          <w:bCs/>
          <w:vertAlign w:val="subscript"/>
        </w:rPr>
        <w:t>3</w:t>
      </w:r>
      <w:r w:rsidRPr="00484AE0">
        <w:rPr>
          <w:bCs/>
        </w:rPr>
        <w:t xml:space="preserve">/l (nieznaczny spadek). 22,22% </w:t>
      </w:r>
      <w:proofErr w:type="spellStart"/>
      <w:r w:rsidRPr="00484AE0">
        <w:rPr>
          <w:bCs/>
        </w:rPr>
        <w:t>ppk</w:t>
      </w:r>
      <w:proofErr w:type="spellEnd"/>
      <w:r w:rsidRPr="00484AE0">
        <w:rPr>
          <w:bCs/>
        </w:rPr>
        <w:t xml:space="preserve"> mieści się w stabilnej klasie tendencji zmian, czyli w przedziale od -1 do 1 mg NO</w:t>
      </w:r>
      <w:r w:rsidRPr="00484AE0">
        <w:rPr>
          <w:bCs/>
          <w:vertAlign w:val="subscript"/>
        </w:rPr>
        <w:t>3</w:t>
      </w:r>
      <w:r w:rsidRPr="00484AE0">
        <w:rPr>
          <w:bCs/>
        </w:rPr>
        <w:t>/l. Znaczny spadek (-5 mg NO</w:t>
      </w:r>
      <w:r w:rsidRPr="00484AE0">
        <w:rPr>
          <w:bCs/>
          <w:vertAlign w:val="subscript"/>
        </w:rPr>
        <w:t>3</w:t>
      </w:r>
      <w:r w:rsidRPr="00484AE0">
        <w:rPr>
          <w:bCs/>
        </w:rPr>
        <w:t xml:space="preserve">/l) odnotowano w 22,22% </w:t>
      </w:r>
      <w:proofErr w:type="spellStart"/>
      <w:r w:rsidRPr="00484AE0">
        <w:rPr>
          <w:bCs/>
        </w:rPr>
        <w:t>ppk</w:t>
      </w:r>
      <w:proofErr w:type="spellEnd"/>
      <w:r w:rsidRPr="00484AE0">
        <w:rPr>
          <w:bCs/>
        </w:rPr>
        <w:t xml:space="preserve">. W przypadku wartości maksymalnych, 88,89% </w:t>
      </w:r>
      <w:proofErr w:type="spellStart"/>
      <w:r w:rsidRPr="00484AE0">
        <w:rPr>
          <w:bCs/>
        </w:rPr>
        <w:t>ppk</w:t>
      </w:r>
      <w:proofErr w:type="spellEnd"/>
      <w:r w:rsidRPr="00484AE0">
        <w:rPr>
          <w:bCs/>
        </w:rPr>
        <w:t xml:space="preserve"> wód przejściowych wykazało znaczny spadek maksymalnych stężeń azotanów.</w:t>
      </w:r>
    </w:p>
    <w:p w14:paraId="3A849944" w14:textId="77777777" w:rsidR="0046020E" w:rsidRPr="00484AE0" w:rsidRDefault="0046020E" w:rsidP="002A04BE">
      <w:pPr>
        <w:jc w:val="both"/>
        <w:rPr>
          <w:rFonts w:cs="ArialNarrow"/>
        </w:rPr>
      </w:pPr>
      <w:r w:rsidRPr="00484AE0">
        <w:t xml:space="preserve">Analiza tendencji zmian wartości średnich rocznych azotanów dla analizowanych JCWP przybrzeżnych wykazała, iż </w:t>
      </w:r>
      <w:r w:rsidRPr="00484AE0">
        <w:rPr>
          <w:rFonts w:cs="ArialNarrow"/>
        </w:rPr>
        <w:t xml:space="preserve">największy odsetek punktów pomiarowych (60%) charakteryzował się zmianą stężenia azotanów na poziomie od </w:t>
      </w:r>
      <w:r w:rsidRPr="00484AE0">
        <w:t xml:space="preserve">-5 do -1 </w:t>
      </w:r>
      <w:r w:rsidRPr="00484AE0">
        <w:rPr>
          <w:bCs/>
        </w:rPr>
        <w:t>mg NO</w:t>
      </w:r>
      <w:r w:rsidRPr="00484AE0">
        <w:rPr>
          <w:bCs/>
          <w:vertAlign w:val="subscript"/>
        </w:rPr>
        <w:t>3</w:t>
      </w:r>
      <w:r w:rsidRPr="00484AE0">
        <w:rPr>
          <w:bCs/>
        </w:rPr>
        <w:t>/l (nieznaczny spadek). Znaczny spadek (-5 mg NO</w:t>
      </w:r>
      <w:r w:rsidRPr="00484AE0">
        <w:rPr>
          <w:bCs/>
          <w:vertAlign w:val="subscript"/>
        </w:rPr>
        <w:t>3</w:t>
      </w:r>
      <w:r w:rsidRPr="00484AE0">
        <w:rPr>
          <w:bCs/>
        </w:rPr>
        <w:t xml:space="preserve">/l) odnotowano w pozostałych 40% </w:t>
      </w:r>
      <w:proofErr w:type="spellStart"/>
      <w:r w:rsidRPr="00484AE0">
        <w:rPr>
          <w:bCs/>
        </w:rPr>
        <w:t>ppk</w:t>
      </w:r>
      <w:proofErr w:type="spellEnd"/>
      <w:r w:rsidRPr="00484AE0">
        <w:rPr>
          <w:bCs/>
        </w:rPr>
        <w:t xml:space="preserve">. W przypadku wartości maksymalnych, 80,00% </w:t>
      </w:r>
      <w:proofErr w:type="spellStart"/>
      <w:r w:rsidRPr="00484AE0">
        <w:rPr>
          <w:bCs/>
        </w:rPr>
        <w:t>ppk</w:t>
      </w:r>
      <w:proofErr w:type="spellEnd"/>
      <w:r w:rsidRPr="00484AE0">
        <w:rPr>
          <w:bCs/>
        </w:rPr>
        <w:t xml:space="preserve"> wód przybrzeżnych wykazało znaczny spadek maksymalnych stężeń azotanów.</w:t>
      </w:r>
    </w:p>
    <w:p w14:paraId="0BF8A637" w14:textId="3749DEFA" w:rsidR="0046020E" w:rsidRPr="00484AE0" w:rsidRDefault="0046020E" w:rsidP="002A04BE">
      <w:pPr>
        <w:spacing w:after="0"/>
        <w:jc w:val="both"/>
      </w:pPr>
      <w:bookmarkStart w:id="15" w:name="_Hlk49947748"/>
      <w:r w:rsidRPr="00484AE0">
        <w:t xml:space="preserve">Poniżej przedstawiono podsumowanie tendencji zmian średnich rocznych i średnich zimowych stężeń azotanów w wodach powierzchniowych </w:t>
      </w:r>
      <w:r w:rsidR="00BB537E">
        <w:t xml:space="preserve">(wszystkie kategorie wód) </w:t>
      </w:r>
      <w:r w:rsidRPr="00484AE0">
        <w:rPr>
          <w:bCs/>
        </w:rPr>
        <w:t>pomiędzy rokiem 2020</w:t>
      </w:r>
      <w:r w:rsidR="00DA2BB8">
        <w:rPr>
          <w:bCs/>
        </w:rPr>
        <w:t>,</w:t>
      </w:r>
      <w:r w:rsidRPr="00484AE0">
        <w:rPr>
          <w:bCs/>
        </w:rPr>
        <w:t xml:space="preserve"> a okresem 2016-2019 (dla wspólnych punktów monitoringowych w ramach PMŚ).</w:t>
      </w:r>
    </w:p>
    <w:p w14:paraId="60034047" w14:textId="6490C3DB" w:rsidR="0046020E" w:rsidRPr="00397E41" w:rsidRDefault="0046020E" w:rsidP="00397E41">
      <w:pPr>
        <w:pStyle w:val="Legenda"/>
        <w:spacing w:before="120" w:after="0" w:line="259" w:lineRule="auto"/>
        <w:jc w:val="both"/>
        <w:rPr>
          <w:i w:val="0"/>
          <w:iCs w:val="0"/>
          <w:color w:val="2F5496" w:themeColor="accent1" w:themeShade="BF"/>
          <w:sz w:val="20"/>
          <w:szCs w:val="20"/>
        </w:rPr>
      </w:pPr>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00A370DA">
        <w:rPr>
          <w:i w:val="0"/>
          <w:iCs w:val="0"/>
          <w:noProof/>
          <w:color w:val="2F5496" w:themeColor="accent1" w:themeShade="BF"/>
          <w:sz w:val="20"/>
          <w:szCs w:val="20"/>
        </w:rPr>
        <w:t>6</w:t>
      </w:r>
      <w:r w:rsidRPr="00397E41">
        <w:rPr>
          <w:i w:val="0"/>
          <w:iCs w:val="0"/>
          <w:color w:val="2F5496" w:themeColor="accent1" w:themeShade="BF"/>
          <w:sz w:val="20"/>
          <w:szCs w:val="20"/>
        </w:rPr>
        <w:fldChar w:fldCharType="end"/>
      </w:r>
      <w:r w:rsidRPr="00397E41">
        <w:rPr>
          <w:i w:val="0"/>
          <w:iCs w:val="0"/>
          <w:color w:val="2F5496" w:themeColor="accent1" w:themeShade="BF"/>
          <w:sz w:val="20"/>
          <w:szCs w:val="20"/>
        </w:rPr>
        <w:t>. Tendencje zmian średnich rocznych i średnich zimowych wartości stężeń NO</w:t>
      </w:r>
      <w:r w:rsidRPr="00B206A6">
        <w:rPr>
          <w:i w:val="0"/>
          <w:iCs w:val="0"/>
          <w:color w:val="2F5496" w:themeColor="accent1" w:themeShade="BF"/>
          <w:sz w:val="20"/>
          <w:szCs w:val="20"/>
          <w:vertAlign w:val="subscript"/>
        </w:rPr>
        <w:t>3</w:t>
      </w:r>
      <w:r w:rsidRPr="00397E41">
        <w:rPr>
          <w:i w:val="0"/>
          <w:iCs w:val="0"/>
          <w:color w:val="2F5496" w:themeColor="accent1" w:themeShade="BF"/>
          <w:sz w:val="20"/>
          <w:szCs w:val="20"/>
        </w:rPr>
        <w:t xml:space="preserve"> między okresem 2016–2019 i 2020 rokiem (dla wspólnych punktów monitoringowych w ramach PMŚ)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261"/>
        <w:gridCol w:w="2688"/>
      </w:tblGrid>
      <w:tr w:rsidR="0046020E" w:rsidRPr="00484AE0" w14:paraId="4A295AA4" w14:textId="77777777" w:rsidTr="00160BD4">
        <w:trPr>
          <w:trHeight w:val="340"/>
          <w:tblHeader/>
        </w:trPr>
        <w:tc>
          <w:tcPr>
            <w:tcW w:w="1718"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7C5D35C" w14:textId="77777777" w:rsidR="0046020E" w:rsidRPr="00484AE0" w:rsidRDefault="0046020E" w:rsidP="002A04BE">
            <w:pPr>
              <w:keepNext/>
              <w:keepLines/>
              <w:spacing w:after="0"/>
              <w:jc w:val="center"/>
              <w:rPr>
                <w:color w:val="FFFFFF" w:themeColor="background1"/>
                <w:szCs w:val="20"/>
              </w:rPr>
            </w:pPr>
            <w:r w:rsidRPr="00484AE0">
              <w:rPr>
                <w:bCs/>
                <w:color w:val="FFFFFF" w:themeColor="background1"/>
                <w:szCs w:val="20"/>
              </w:rPr>
              <w:t>Odsetek wspólnych punktów</w:t>
            </w:r>
          </w:p>
        </w:tc>
        <w:tc>
          <w:tcPr>
            <w:tcW w:w="179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7B4A5C04" w14:textId="77777777" w:rsidR="0046020E" w:rsidRPr="00484AE0" w:rsidRDefault="0046020E" w:rsidP="002A04BE">
            <w:pPr>
              <w:keepNext/>
              <w:keepLines/>
              <w:spacing w:after="0"/>
              <w:jc w:val="center"/>
              <w:rPr>
                <w:color w:val="FFFFFF" w:themeColor="background1"/>
                <w:szCs w:val="20"/>
              </w:rPr>
            </w:pPr>
            <w:r w:rsidRPr="00484AE0">
              <w:rPr>
                <w:color w:val="FFFFFF" w:themeColor="background1"/>
                <w:szCs w:val="20"/>
              </w:rPr>
              <w:t>dla średnich rocznych</w:t>
            </w:r>
          </w:p>
        </w:tc>
        <w:tc>
          <w:tcPr>
            <w:tcW w:w="1483"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6EB8FF5C" w14:textId="77777777" w:rsidR="0046020E" w:rsidRPr="00484AE0" w:rsidRDefault="0046020E" w:rsidP="002A04BE">
            <w:pPr>
              <w:keepNext/>
              <w:keepLines/>
              <w:spacing w:after="0"/>
              <w:jc w:val="center"/>
              <w:rPr>
                <w:color w:val="FFFFFF" w:themeColor="background1"/>
                <w:szCs w:val="20"/>
              </w:rPr>
            </w:pPr>
            <w:r w:rsidRPr="00484AE0">
              <w:rPr>
                <w:bCs/>
                <w:color w:val="FFFFFF" w:themeColor="background1"/>
                <w:szCs w:val="20"/>
              </w:rPr>
              <w:t>dla średnich zimowych</w:t>
            </w:r>
          </w:p>
        </w:tc>
      </w:tr>
      <w:tr w:rsidR="0046020E" w:rsidRPr="00484AE0" w14:paraId="6EEC909C" w14:textId="77777777" w:rsidTr="00160BD4">
        <w:trPr>
          <w:trHeight w:val="28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F8726E9" w14:textId="77777777" w:rsidR="0046020E" w:rsidRPr="00484AE0" w:rsidRDefault="0046020E" w:rsidP="002A04BE">
            <w:pPr>
              <w:keepNext/>
              <w:keepLines/>
              <w:spacing w:after="0"/>
              <w:rPr>
                <w:szCs w:val="20"/>
              </w:rPr>
            </w:pPr>
            <w:r w:rsidRPr="00484AE0">
              <w:rPr>
                <w:b/>
                <w:bCs/>
                <w:szCs w:val="20"/>
              </w:rPr>
              <w:t>rosnący</w:t>
            </w:r>
          </w:p>
        </w:tc>
      </w:tr>
      <w:tr w:rsidR="0046020E" w:rsidRPr="00484AE0" w14:paraId="54792B99" w14:textId="77777777" w:rsidTr="00160BD4">
        <w:trPr>
          <w:trHeight w:val="283"/>
        </w:trPr>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047493F5" w14:textId="77777777" w:rsidR="0046020E" w:rsidRPr="00484AE0" w:rsidRDefault="0046020E" w:rsidP="002A04BE">
            <w:pPr>
              <w:spacing w:after="0"/>
              <w:rPr>
                <w:bCs/>
                <w:szCs w:val="20"/>
              </w:rPr>
            </w:pPr>
            <w:r w:rsidRPr="00484AE0">
              <w:rPr>
                <w:bCs/>
                <w:szCs w:val="20"/>
              </w:rPr>
              <w:t xml:space="preserve">  silnie (&gt; +5 mg/l)</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075CC50C" w14:textId="77777777" w:rsidR="0046020E" w:rsidRPr="00484AE0" w:rsidRDefault="0046020E" w:rsidP="002A04BE">
            <w:pPr>
              <w:keepNext/>
              <w:keepLines/>
              <w:spacing w:after="0"/>
              <w:jc w:val="center"/>
              <w:rPr>
                <w:szCs w:val="20"/>
              </w:rPr>
            </w:pPr>
            <w:r w:rsidRPr="00484AE0">
              <w:rPr>
                <w:szCs w:val="20"/>
              </w:rPr>
              <w:t>2,52%</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0D0002D4" w14:textId="77777777" w:rsidR="0046020E" w:rsidRPr="00484AE0" w:rsidRDefault="0046020E" w:rsidP="002A04BE">
            <w:pPr>
              <w:keepNext/>
              <w:keepLines/>
              <w:spacing w:after="0"/>
              <w:jc w:val="center"/>
              <w:rPr>
                <w:szCs w:val="20"/>
              </w:rPr>
            </w:pPr>
            <w:r w:rsidRPr="00484AE0">
              <w:rPr>
                <w:szCs w:val="20"/>
              </w:rPr>
              <w:t>4,34%</w:t>
            </w:r>
          </w:p>
        </w:tc>
      </w:tr>
      <w:tr w:rsidR="0046020E" w:rsidRPr="00484AE0" w14:paraId="5789D39E" w14:textId="77777777" w:rsidTr="00160BD4">
        <w:trPr>
          <w:trHeight w:val="85"/>
        </w:trPr>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478A6958" w14:textId="77777777" w:rsidR="0046020E" w:rsidRPr="00484AE0" w:rsidRDefault="0046020E" w:rsidP="002A04BE">
            <w:pPr>
              <w:spacing w:after="0"/>
              <w:rPr>
                <w:bCs/>
                <w:szCs w:val="20"/>
              </w:rPr>
            </w:pPr>
            <w:r w:rsidRPr="00484AE0">
              <w:rPr>
                <w:bCs/>
                <w:szCs w:val="20"/>
              </w:rPr>
              <w:t xml:space="preserve">  słabo (≤ +5 i &gt; +1 mg/l)</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23F829DD" w14:textId="77777777" w:rsidR="0046020E" w:rsidRPr="00484AE0" w:rsidRDefault="0046020E" w:rsidP="002A04BE">
            <w:pPr>
              <w:keepNext/>
              <w:keepLines/>
              <w:spacing w:after="0"/>
              <w:jc w:val="center"/>
              <w:rPr>
                <w:szCs w:val="20"/>
                <w:lang w:val="en-US"/>
              </w:rPr>
            </w:pPr>
            <w:r w:rsidRPr="00484AE0">
              <w:rPr>
                <w:szCs w:val="20"/>
                <w:lang w:val="en-US"/>
              </w:rPr>
              <w:t>9,58%</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026AD569" w14:textId="77777777" w:rsidR="0046020E" w:rsidRPr="00484AE0" w:rsidRDefault="0046020E" w:rsidP="002A04BE">
            <w:pPr>
              <w:keepNext/>
              <w:keepLines/>
              <w:spacing w:after="0"/>
              <w:jc w:val="center"/>
              <w:rPr>
                <w:szCs w:val="20"/>
                <w:lang w:val="en-US"/>
              </w:rPr>
            </w:pPr>
            <w:r w:rsidRPr="00484AE0">
              <w:rPr>
                <w:szCs w:val="20"/>
                <w:lang w:val="en-US"/>
              </w:rPr>
              <w:t>12,71%</w:t>
            </w:r>
          </w:p>
        </w:tc>
      </w:tr>
      <w:tr w:rsidR="0046020E" w:rsidRPr="00484AE0" w14:paraId="1DBA3CB4" w14:textId="77777777" w:rsidTr="00160BD4">
        <w:trPr>
          <w:trHeight w:val="210"/>
        </w:trPr>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5D883043" w14:textId="77777777" w:rsidR="0046020E" w:rsidRPr="00484AE0" w:rsidRDefault="0046020E" w:rsidP="002A04BE">
            <w:pPr>
              <w:tabs>
                <w:tab w:val="center" w:pos="1448"/>
              </w:tabs>
              <w:spacing w:after="0"/>
              <w:rPr>
                <w:b/>
                <w:bCs/>
                <w:szCs w:val="20"/>
              </w:rPr>
            </w:pPr>
            <w:r w:rsidRPr="00484AE0">
              <w:rPr>
                <w:b/>
                <w:bCs/>
                <w:szCs w:val="20"/>
              </w:rPr>
              <w:t>stabilny (≤ +1 i ≥ -1 mg/l)</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4CB05F58" w14:textId="77777777" w:rsidR="0046020E" w:rsidRPr="00484AE0" w:rsidRDefault="0046020E" w:rsidP="002A04BE">
            <w:pPr>
              <w:keepNext/>
              <w:keepLines/>
              <w:spacing w:after="0"/>
              <w:jc w:val="center"/>
              <w:rPr>
                <w:szCs w:val="20"/>
                <w:lang w:val="en-US"/>
              </w:rPr>
            </w:pPr>
            <w:r w:rsidRPr="00484AE0">
              <w:rPr>
                <w:szCs w:val="20"/>
                <w:lang w:val="en-US"/>
              </w:rPr>
              <w:t>45,67%</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2546871D" w14:textId="77777777" w:rsidR="0046020E" w:rsidRPr="00484AE0" w:rsidRDefault="0046020E" w:rsidP="002A04BE">
            <w:pPr>
              <w:keepNext/>
              <w:keepLines/>
              <w:spacing w:after="0"/>
              <w:jc w:val="center"/>
              <w:rPr>
                <w:szCs w:val="20"/>
                <w:lang w:val="en-US"/>
              </w:rPr>
            </w:pPr>
            <w:r w:rsidRPr="00484AE0">
              <w:rPr>
                <w:szCs w:val="20"/>
                <w:lang w:val="en-US"/>
              </w:rPr>
              <w:t>39,51%</w:t>
            </w:r>
          </w:p>
        </w:tc>
      </w:tr>
      <w:tr w:rsidR="0046020E" w:rsidRPr="00484AE0" w14:paraId="7684E43B" w14:textId="77777777" w:rsidTr="00160BD4">
        <w:trPr>
          <w:trHeight w:val="28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CB77EB7" w14:textId="77777777" w:rsidR="0046020E" w:rsidRPr="00484AE0" w:rsidRDefault="0046020E" w:rsidP="002A04BE">
            <w:pPr>
              <w:keepNext/>
              <w:keepLines/>
              <w:spacing w:after="0"/>
              <w:rPr>
                <w:szCs w:val="20"/>
                <w:lang w:val="en-US"/>
              </w:rPr>
            </w:pPr>
            <w:r w:rsidRPr="00484AE0">
              <w:rPr>
                <w:b/>
                <w:bCs/>
                <w:szCs w:val="20"/>
              </w:rPr>
              <w:t>malejący</w:t>
            </w:r>
          </w:p>
        </w:tc>
      </w:tr>
      <w:tr w:rsidR="0046020E" w:rsidRPr="00484AE0" w14:paraId="624CAF45" w14:textId="77777777" w:rsidTr="00160BD4">
        <w:trPr>
          <w:trHeight w:val="283"/>
        </w:trPr>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63349CA6" w14:textId="77777777" w:rsidR="0046020E" w:rsidRPr="00484AE0" w:rsidRDefault="0046020E" w:rsidP="002A04BE">
            <w:pPr>
              <w:spacing w:after="0"/>
              <w:rPr>
                <w:bCs/>
                <w:szCs w:val="20"/>
              </w:rPr>
            </w:pPr>
            <w:r w:rsidRPr="00484AE0">
              <w:rPr>
                <w:bCs/>
                <w:szCs w:val="20"/>
              </w:rPr>
              <w:t xml:space="preserve">  silnie (&lt; -5 mg/l)</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746A77D3" w14:textId="77777777" w:rsidR="0046020E" w:rsidRPr="00484AE0" w:rsidRDefault="0046020E" w:rsidP="002A04BE">
            <w:pPr>
              <w:keepNext/>
              <w:keepLines/>
              <w:spacing w:after="0"/>
              <w:jc w:val="center"/>
              <w:rPr>
                <w:szCs w:val="20"/>
                <w:lang w:val="en-US"/>
              </w:rPr>
            </w:pPr>
            <w:r w:rsidRPr="00484AE0">
              <w:rPr>
                <w:szCs w:val="20"/>
                <w:lang w:val="en-US"/>
              </w:rPr>
              <w:t>17,34%</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3383CC98" w14:textId="77777777" w:rsidR="0046020E" w:rsidRPr="00484AE0" w:rsidRDefault="0046020E" w:rsidP="002A04BE">
            <w:pPr>
              <w:keepNext/>
              <w:keepLines/>
              <w:spacing w:after="0"/>
              <w:jc w:val="center"/>
              <w:rPr>
                <w:szCs w:val="20"/>
                <w:lang w:val="en-US"/>
              </w:rPr>
            </w:pPr>
            <w:r w:rsidRPr="00484AE0">
              <w:rPr>
                <w:szCs w:val="20"/>
                <w:lang w:val="en-US"/>
              </w:rPr>
              <w:t>20,13%</w:t>
            </w:r>
          </w:p>
        </w:tc>
      </w:tr>
      <w:tr w:rsidR="0046020E" w:rsidRPr="00484AE0" w14:paraId="0ED0E50D" w14:textId="77777777" w:rsidTr="00160BD4">
        <w:trPr>
          <w:trHeight w:val="283"/>
        </w:trPr>
        <w:tc>
          <w:tcPr>
            <w:tcW w:w="1718" w:type="pct"/>
            <w:tcBorders>
              <w:top w:val="single" w:sz="4" w:space="0" w:color="auto"/>
              <w:left w:val="single" w:sz="4" w:space="0" w:color="auto"/>
              <w:bottom w:val="single" w:sz="4" w:space="0" w:color="auto"/>
              <w:right w:val="single" w:sz="4" w:space="0" w:color="auto"/>
            </w:tcBorders>
            <w:shd w:val="clear" w:color="auto" w:fill="auto"/>
            <w:hideMark/>
          </w:tcPr>
          <w:p w14:paraId="32ECD1EB" w14:textId="77777777" w:rsidR="0046020E" w:rsidRPr="00484AE0" w:rsidRDefault="0046020E" w:rsidP="002A04BE">
            <w:pPr>
              <w:spacing w:after="0"/>
              <w:rPr>
                <w:bCs/>
                <w:szCs w:val="20"/>
              </w:rPr>
            </w:pPr>
            <w:r w:rsidRPr="00484AE0">
              <w:rPr>
                <w:bCs/>
                <w:szCs w:val="20"/>
              </w:rPr>
              <w:t xml:space="preserve">  słabo (&lt; -1 i ≥ -5 mg/l)</w:t>
            </w:r>
          </w:p>
        </w:tc>
        <w:tc>
          <w:tcPr>
            <w:tcW w:w="1799" w:type="pct"/>
            <w:tcBorders>
              <w:top w:val="single" w:sz="4" w:space="0" w:color="auto"/>
              <w:left w:val="single" w:sz="4" w:space="0" w:color="auto"/>
              <w:bottom w:val="single" w:sz="4" w:space="0" w:color="auto"/>
              <w:right w:val="single" w:sz="4" w:space="0" w:color="auto"/>
            </w:tcBorders>
            <w:shd w:val="clear" w:color="auto" w:fill="auto"/>
            <w:vAlign w:val="center"/>
          </w:tcPr>
          <w:p w14:paraId="423DF4C5" w14:textId="77777777" w:rsidR="0046020E" w:rsidRPr="00484AE0" w:rsidRDefault="0046020E" w:rsidP="002A04BE">
            <w:pPr>
              <w:keepNext/>
              <w:keepLines/>
              <w:spacing w:after="0"/>
              <w:jc w:val="center"/>
              <w:rPr>
                <w:szCs w:val="20"/>
                <w:lang w:val="en-US"/>
              </w:rPr>
            </w:pPr>
            <w:r w:rsidRPr="00484AE0">
              <w:rPr>
                <w:szCs w:val="20"/>
                <w:lang w:val="en-US"/>
              </w:rPr>
              <w:t>24,90%</w:t>
            </w:r>
          </w:p>
        </w:tc>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5DE3FF95" w14:textId="77777777" w:rsidR="0046020E" w:rsidRPr="00484AE0" w:rsidRDefault="0046020E" w:rsidP="002A04BE">
            <w:pPr>
              <w:keepNext/>
              <w:keepLines/>
              <w:spacing w:after="0"/>
              <w:jc w:val="center"/>
              <w:rPr>
                <w:szCs w:val="20"/>
                <w:lang w:val="en-US"/>
              </w:rPr>
            </w:pPr>
            <w:r w:rsidRPr="00484AE0">
              <w:rPr>
                <w:szCs w:val="20"/>
                <w:lang w:val="en-US"/>
              </w:rPr>
              <w:t>23,31%</w:t>
            </w:r>
          </w:p>
        </w:tc>
      </w:tr>
    </w:tbl>
    <w:p w14:paraId="7EEFE91A" w14:textId="77777777" w:rsidR="0046020E" w:rsidRPr="00484AE0" w:rsidRDefault="0046020E" w:rsidP="002A04BE">
      <w:pPr>
        <w:autoSpaceDE w:val="0"/>
        <w:autoSpaceDN w:val="0"/>
        <w:adjustRightInd w:val="0"/>
        <w:spacing w:after="0"/>
        <w:jc w:val="both"/>
        <w:rPr>
          <w:rFonts w:cs="ArialNarrow"/>
        </w:rPr>
      </w:pPr>
    </w:p>
    <w:p w14:paraId="54CE924A" w14:textId="369FE976" w:rsidR="0046020E" w:rsidRPr="00484AE0" w:rsidRDefault="0046020E" w:rsidP="002A04BE">
      <w:pPr>
        <w:autoSpaceDE w:val="0"/>
        <w:autoSpaceDN w:val="0"/>
        <w:adjustRightInd w:val="0"/>
        <w:spacing w:after="0"/>
        <w:jc w:val="both"/>
        <w:rPr>
          <w:rFonts w:cs="ArialNarrow"/>
          <w:color w:val="000000"/>
        </w:rPr>
      </w:pPr>
      <w:r w:rsidRPr="00484AE0">
        <w:rPr>
          <w:rFonts w:cs="ArialNarrow"/>
          <w:color w:val="000000"/>
        </w:rPr>
        <w:t xml:space="preserve">W odniesieniu do średnich rocznych i średnich zimowych wartości stężeń azotanów w wodach powierzchniowych, odpowiednio w </w:t>
      </w:r>
      <w:r w:rsidRPr="00B206A6">
        <w:rPr>
          <w:szCs w:val="20"/>
        </w:rPr>
        <w:t xml:space="preserve">45,67% i 39,51% </w:t>
      </w:r>
      <w:r w:rsidRPr="00484AE0">
        <w:rPr>
          <w:rFonts w:cs="ArialNarrow"/>
          <w:color w:val="000000"/>
        </w:rPr>
        <w:t>punktów obserwuje się stabilną tendencję zmian pomiędzy 2020 rokiem, a okresem 2016-2019. Zmiany wzrostowe zaobserwowano odpowiednio w</w:t>
      </w:r>
      <w:r w:rsidR="00EC5E34">
        <w:rPr>
          <w:rFonts w:cs="ArialNarrow"/>
          <w:color w:val="000000"/>
        </w:rPr>
        <w:t> </w:t>
      </w:r>
      <w:r w:rsidRPr="00484AE0">
        <w:rPr>
          <w:rFonts w:cs="ArialNarrow"/>
          <w:color w:val="000000"/>
        </w:rPr>
        <w:t xml:space="preserve">12,10% i 17,05% punktów. Znacznie większy odsetek punktów pomiarowo-kontrolnych charakteryzował się spadkiem wartości średnich stężeń azotanów. Dla średnich rocznych spadek odnotowano w 42,24% </w:t>
      </w:r>
      <w:proofErr w:type="spellStart"/>
      <w:r w:rsidRPr="00484AE0">
        <w:rPr>
          <w:rFonts w:cs="ArialNarrow"/>
          <w:color w:val="000000"/>
        </w:rPr>
        <w:t>ppk</w:t>
      </w:r>
      <w:proofErr w:type="spellEnd"/>
      <w:r w:rsidRPr="00484AE0">
        <w:rPr>
          <w:rFonts w:cs="ArialNarrow"/>
          <w:color w:val="000000"/>
        </w:rPr>
        <w:t xml:space="preserve">, a dla średnich zimowych – w 43,44% </w:t>
      </w:r>
      <w:proofErr w:type="spellStart"/>
      <w:r w:rsidRPr="00484AE0">
        <w:rPr>
          <w:rFonts w:cs="ArialNarrow"/>
          <w:color w:val="000000"/>
        </w:rPr>
        <w:t>ppk</w:t>
      </w:r>
      <w:proofErr w:type="spellEnd"/>
      <w:r w:rsidRPr="00484AE0">
        <w:rPr>
          <w:rFonts w:cs="ArialNarrow"/>
          <w:color w:val="000000"/>
        </w:rPr>
        <w:t xml:space="preserve">. </w:t>
      </w:r>
    </w:p>
    <w:p w14:paraId="13CF06DD" w14:textId="77777777" w:rsidR="0046020E" w:rsidRPr="00484AE0" w:rsidRDefault="0046020E" w:rsidP="002A04BE">
      <w:pPr>
        <w:spacing w:after="0"/>
        <w:jc w:val="both"/>
      </w:pPr>
    </w:p>
    <w:bookmarkEnd w:id="15"/>
    <w:p w14:paraId="084707EF" w14:textId="3A22FAFC" w:rsidR="0046020E" w:rsidRPr="00484AE0" w:rsidRDefault="0046020E" w:rsidP="00D4178D">
      <w:pPr>
        <w:pStyle w:val="Akapitzlist"/>
        <w:keepNext/>
        <w:numPr>
          <w:ilvl w:val="2"/>
          <w:numId w:val="21"/>
        </w:numPr>
        <w:ind w:left="1418" w:hanging="567"/>
        <w:jc w:val="both"/>
        <w:rPr>
          <w:rStyle w:val="Wyrnienieintensywne"/>
          <w:rFonts w:asciiTheme="majorHAnsi" w:hAnsiTheme="majorHAnsi"/>
          <w:b w:val="0"/>
          <w:bCs w:val="0"/>
          <w:color w:val="2F5496" w:themeColor="accent1" w:themeShade="BF"/>
        </w:rPr>
      </w:pPr>
      <w:r w:rsidRPr="00484AE0">
        <w:rPr>
          <w:rStyle w:val="Wyrnienieintensywne"/>
          <w:rFonts w:asciiTheme="majorHAnsi" w:hAnsiTheme="majorHAnsi"/>
          <w:b w:val="0"/>
          <w:bCs w:val="0"/>
          <w:color w:val="2F5496" w:themeColor="accent1" w:themeShade="BF"/>
        </w:rPr>
        <w:t>Identyfikacja punktów, w których w stwierdzono przekroczenia stężenia 25 mg NO</w:t>
      </w:r>
      <w:r w:rsidRPr="00397E41">
        <w:rPr>
          <w:rStyle w:val="Wyrnienieintensywne"/>
          <w:rFonts w:asciiTheme="majorHAnsi" w:hAnsiTheme="majorHAnsi"/>
          <w:b w:val="0"/>
          <w:bCs w:val="0"/>
          <w:color w:val="2F5496" w:themeColor="accent1" w:themeShade="BF"/>
          <w:vertAlign w:val="subscript"/>
        </w:rPr>
        <w:t>3</w:t>
      </w:r>
      <w:r w:rsidRPr="00484AE0">
        <w:rPr>
          <w:rStyle w:val="Wyrnienieintensywne"/>
          <w:rFonts w:asciiTheme="majorHAnsi" w:hAnsiTheme="majorHAnsi"/>
          <w:b w:val="0"/>
          <w:bCs w:val="0"/>
          <w:color w:val="2F5496" w:themeColor="accent1" w:themeShade="BF"/>
        </w:rPr>
        <w:t>/l w</w:t>
      </w:r>
      <w:r w:rsidR="00653707">
        <w:rPr>
          <w:rStyle w:val="Wyrnienieintensywne"/>
          <w:rFonts w:asciiTheme="majorHAnsi" w:hAnsiTheme="majorHAnsi"/>
          <w:b w:val="0"/>
          <w:bCs w:val="0"/>
          <w:color w:val="2F5496" w:themeColor="accent1" w:themeShade="BF"/>
        </w:rPr>
        <w:t> </w:t>
      </w:r>
      <w:r w:rsidRPr="00484AE0">
        <w:rPr>
          <w:rStyle w:val="Wyrnienieintensywne"/>
          <w:rFonts w:asciiTheme="majorHAnsi" w:hAnsiTheme="majorHAnsi"/>
          <w:b w:val="0"/>
          <w:bCs w:val="0"/>
          <w:color w:val="2F5496" w:themeColor="accent1" w:themeShade="BF"/>
        </w:rPr>
        <w:t>okresie 2016-2020 r.</w:t>
      </w:r>
    </w:p>
    <w:p w14:paraId="2807FF6B" w14:textId="7C797175" w:rsidR="0046020E" w:rsidRPr="00484AE0" w:rsidRDefault="0046020E" w:rsidP="002A04BE">
      <w:pPr>
        <w:spacing w:after="0"/>
        <w:jc w:val="both"/>
      </w:pPr>
      <w:r w:rsidRPr="00484AE0">
        <w:t xml:space="preserve">Identyfikacja </w:t>
      </w:r>
      <w:r w:rsidRPr="00484AE0">
        <w:rPr>
          <w:rFonts w:cstheme="minorHAnsi"/>
        </w:rPr>
        <w:t xml:space="preserve">punktów, w których wystąpiły przekroczenia azotanów powyżej 25 mg/l, </w:t>
      </w:r>
      <w:r w:rsidRPr="00484AE0">
        <w:t xml:space="preserve">została wykonana w oparciu o średnie roczne stężenia azotanów, które zostały </w:t>
      </w:r>
      <w:r w:rsidR="001B609F">
        <w:t>określone</w:t>
      </w:r>
      <w:r w:rsidR="001B609F" w:rsidRPr="00484AE0">
        <w:t xml:space="preserve"> </w:t>
      </w:r>
      <w:r w:rsidRPr="00484AE0">
        <w:t xml:space="preserve">dla każdego roku osobno w okresie od 2016 do 2020 r. </w:t>
      </w:r>
    </w:p>
    <w:p w14:paraId="55DE6A10" w14:textId="77777777" w:rsidR="0046020E" w:rsidRPr="00484AE0" w:rsidRDefault="0046020E" w:rsidP="002A04BE">
      <w:pPr>
        <w:autoSpaceDE w:val="0"/>
        <w:autoSpaceDN w:val="0"/>
        <w:adjustRightInd w:val="0"/>
        <w:spacing w:after="0"/>
        <w:jc w:val="both"/>
        <w:rPr>
          <w:rFonts w:cs="ArialNarrow"/>
        </w:rPr>
      </w:pPr>
      <w:r w:rsidRPr="00484AE0">
        <w:t>W poniższej tabeli przedstawiono podsumowanie identyfikacji punktów pomiarowych, w których na przestrzeni lat 2016 – 2020 co najmniej raz wystąpiło przekroczenie 25 mg NO</w:t>
      </w:r>
      <w:r w:rsidRPr="00484AE0">
        <w:rPr>
          <w:vertAlign w:val="subscript"/>
        </w:rPr>
        <w:t>3</w:t>
      </w:r>
      <w:r w:rsidRPr="00484AE0">
        <w:t xml:space="preserve">/l. Szczegółowe </w:t>
      </w:r>
      <w:r w:rsidRPr="00484AE0">
        <w:rPr>
          <w:rFonts w:cs="ArialNarrow"/>
        </w:rPr>
        <w:t>zestawienie punktów pomiarowo-kontrolnych uwzględnionych w analizie oraz wyniki stężeń azotanów w wodach powierzchniowych dla poszczególnych kategorii wód przedstawiono w Załączniku 1.</w:t>
      </w:r>
    </w:p>
    <w:p w14:paraId="678E451E" w14:textId="5A029BB3" w:rsidR="0046020E" w:rsidRPr="00397E41" w:rsidRDefault="0046020E" w:rsidP="00397E41">
      <w:pPr>
        <w:pStyle w:val="Legenda"/>
        <w:spacing w:before="120" w:after="0" w:line="259" w:lineRule="auto"/>
        <w:jc w:val="both"/>
        <w:rPr>
          <w:i w:val="0"/>
          <w:iCs w:val="0"/>
          <w:color w:val="2F5496" w:themeColor="accent1" w:themeShade="BF"/>
          <w:sz w:val="20"/>
          <w:szCs w:val="20"/>
        </w:rPr>
      </w:pPr>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Pr="00397E41">
        <w:rPr>
          <w:i w:val="0"/>
          <w:iCs w:val="0"/>
          <w:color w:val="2F5496" w:themeColor="accent1" w:themeShade="BF"/>
          <w:sz w:val="20"/>
          <w:szCs w:val="20"/>
        </w:rPr>
        <w:t>7</w:t>
      </w:r>
      <w:r w:rsidRPr="00397E41">
        <w:rPr>
          <w:i w:val="0"/>
          <w:iCs w:val="0"/>
          <w:color w:val="2F5496" w:themeColor="accent1" w:themeShade="BF"/>
          <w:sz w:val="20"/>
          <w:szCs w:val="20"/>
        </w:rPr>
        <w:fldChar w:fldCharType="end"/>
      </w:r>
      <w:r w:rsidRPr="00397E41">
        <w:rPr>
          <w:i w:val="0"/>
          <w:iCs w:val="0"/>
          <w:color w:val="2F5496" w:themeColor="accent1" w:themeShade="BF"/>
          <w:sz w:val="20"/>
          <w:szCs w:val="20"/>
        </w:rPr>
        <w:t>. Punkty pomiarowe w ramach PMŚ, w których stwierdzono przekroczeni</w:t>
      </w:r>
      <w:r w:rsidR="0069671C">
        <w:rPr>
          <w:i w:val="0"/>
          <w:iCs w:val="0"/>
          <w:color w:val="2F5496" w:themeColor="accent1" w:themeShade="BF"/>
          <w:sz w:val="20"/>
          <w:szCs w:val="20"/>
        </w:rPr>
        <w:t>e</w:t>
      </w:r>
      <w:r w:rsidRPr="00397E41">
        <w:rPr>
          <w:i w:val="0"/>
          <w:iCs w:val="0"/>
          <w:color w:val="2F5496" w:themeColor="accent1" w:themeShade="BF"/>
          <w:sz w:val="20"/>
          <w:szCs w:val="20"/>
        </w:rPr>
        <w:t xml:space="preserve"> stężenia 25 mg NO</w:t>
      </w:r>
      <w:r w:rsidRPr="00B206A6">
        <w:rPr>
          <w:i w:val="0"/>
          <w:iCs w:val="0"/>
          <w:color w:val="2F5496" w:themeColor="accent1" w:themeShade="BF"/>
          <w:sz w:val="20"/>
          <w:szCs w:val="20"/>
          <w:vertAlign w:val="subscript"/>
        </w:rPr>
        <w:t>3</w:t>
      </w:r>
      <w:r w:rsidRPr="00397E41">
        <w:rPr>
          <w:i w:val="0"/>
          <w:iCs w:val="0"/>
          <w:color w:val="2F5496" w:themeColor="accent1" w:themeShade="BF"/>
          <w:sz w:val="20"/>
          <w:szCs w:val="20"/>
        </w:rPr>
        <w:t>/l w okresie 2016-2020 r.</w:t>
      </w:r>
    </w:p>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61"/>
        <w:gridCol w:w="5103"/>
      </w:tblGrid>
      <w:tr w:rsidR="0046020E" w:rsidRPr="00484AE0" w14:paraId="02DCF606" w14:textId="77777777" w:rsidTr="00160BD4">
        <w:trPr>
          <w:trHeight w:val="927"/>
          <w:tblHeader/>
        </w:trPr>
        <w:tc>
          <w:tcPr>
            <w:tcW w:w="3961" w:type="dxa"/>
            <w:tcBorders>
              <w:top w:val="single" w:sz="6" w:space="0" w:color="000000"/>
              <w:left w:val="single" w:sz="6" w:space="0" w:color="000000"/>
              <w:bottom w:val="single" w:sz="6" w:space="0" w:color="000000"/>
              <w:right w:val="single" w:sz="6" w:space="0" w:color="000000"/>
            </w:tcBorders>
            <w:shd w:val="clear" w:color="auto" w:fill="2F5496" w:themeFill="accent1" w:themeFillShade="BF"/>
            <w:vAlign w:val="center"/>
          </w:tcPr>
          <w:p w14:paraId="57FE6D55" w14:textId="77777777" w:rsidR="0046020E" w:rsidRPr="00484AE0" w:rsidRDefault="0046020E" w:rsidP="002A04BE">
            <w:pPr>
              <w:pStyle w:val="t1"/>
              <w:spacing w:line="259" w:lineRule="auto"/>
              <w:jc w:val="center"/>
              <w:rPr>
                <w:color w:val="FFFFFF" w:themeColor="background1"/>
                <w:sz w:val="22"/>
                <w:szCs w:val="22"/>
                <w:lang w:val="pl-PL"/>
              </w:rPr>
            </w:pPr>
            <w:r w:rsidRPr="00484AE0">
              <w:rPr>
                <w:rFonts w:asciiTheme="minorHAnsi" w:hAnsiTheme="minorHAnsi"/>
                <w:color w:val="FFFFFF" w:themeColor="background1"/>
                <w:sz w:val="22"/>
                <w:szCs w:val="22"/>
                <w:lang w:val="pl-PL"/>
              </w:rPr>
              <w:t>Kategoria JCWP</w:t>
            </w:r>
          </w:p>
        </w:tc>
        <w:tc>
          <w:tcPr>
            <w:tcW w:w="5103" w:type="dxa"/>
            <w:tcBorders>
              <w:top w:val="single" w:sz="6" w:space="0" w:color="000000"/>
              <w:left w:val="single" w:sz="6" w:space="0" w:color="000000"/>
              <w:right w:val="single" w:sz="6" w:space="0" w:color="000000"/>
            </w:tcBorders>
            <w:shd w:val="clear" w:color="auto" w:fill="2F5496" w:themeFill="accent1" w:themeFillShade="BF"/>
            <w:vAlign w:val="center"/>
            <w:hideMark/>
          </w:tcPr>
          <w:p w14:paraId="56B54320" w14:textId="77777777" w:rsidR="0046020E" w:rsidRPr="00484AE0" w:rsidRDefault="0046020E" w:rsidP="002A04BE">
            <w:pPr>
              <w:spacing w:after="0"/>
              <w:jc w:val="center"/>
              <w:rPr>
                <w:color w:val="FFFFFF" w:themeColor="background1"/>
              </w:rPr>
            </w:pPr>
            <w:r w:rsidRPr="00484AE0">
              <w:rPr>
                <w:color w:val="FFFFFF" w:themeColor="background1"/>
              </w:rPr>
              <w:t>% punktów, w których stwierdzono przekroczenia stężenia 25 mg NO</w:t>
            </w:r>
            <w:r w:rsidRPr="00484AE0">
              <w:rPr>
                <w:color w:val="FFFFFF" w:themeColor="background1"/>
                <w:vertAlign w:val="subscript"/>
              </w:rPr>
              <w:t>3</w:t>
            </w:r>
            <w:r w:rsidRPr="00484AE0">
              <w:rPr>
                <w:color w:val="FFFFFF" w:themeColor="background1"/>
              </w:rPr>
              <w:t>/l *</w:t>
            </w:r>
          </w:p>
        </w:tc>
      </w:tr>
      <w:tr w:rsidR="0046020E" w:rsidRPr="00484AE0" w14:paraId="182D477E" w14:textId="77777777" w:rsidTr="00160BD4">
        <w:trPr>
          <w:trHeight w:val="238"/>
        </w:trPr>
        <w:tc>
          <w:tcPr>
            <w:tcW w:w="3961" w:type="dxa"/>
            <w:tcBorders>
              <w:top w:val="single" w:sz="6" w:space="0" w:color="000000"/>
              <w:left w:val="single" w:sz="6" w:space="0" w:color="000000"/>
              <w:bottom w:val="single" w:sz="6" w:space="0" w:color="000000"/>
              <w:right w:val="single" w:sz="6" w:space="0" w:color="000000"/>
            </w:tcBorders>
            <w:shd w:val="clear" w:color="auto" w:fill="auto"/>
            <w:hideMark/>
          </w:tcPr>
          <w:p w14:paraId="71D6FE06" w14:textId="77777777" w:rsidR="0046020E" w:rsidRPr="00484AE0" w:rsidRDefault="0046020E" w:rsidP="002A04BE">
            <w:pPr>
              <w:spacing w:after="0"/>
            </w:pPr>
            <w:r w:rsidRPr="00484AE0">
              <w:t xml:space="preserve">JCWP rzeczne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5FDC0EB6" w14:textId="77777777" w:rsidR="0046020E" w:rsidRPr="00484AE0" w:rsidRDefault="0046020E" w:rsidP="002A04BE">
            <w:pPr>
              <w:spacing w:after="0"/>
              <w:jc w:val="center"/>
              <w:rPr>
                <w:rFonts w:cstheme="minorHAnsi"/>
              </w:rPr>
            </w:pPr>
            <w:r w:rsidRPr="00484AE0">
              <w:t>7,82</w:t>
            </w:r>
          </w:p>
        </w:tc>
      </w:tr>
      <w:tr w:rsidR="0046020E" w:rsidRPr="00484AE0" w14:paraId="19E700D6" w14:textId="77777777" w:rsidTr="00160BD4">
        <w:trPr>
          <w:trHeight w:val="238"/>
        </w:trPr>
        <w:tc>
          <w:tcPr>
            <w:tcW w:w="3961" w:type="dxa"/>
            <w:tcBorders>
              <w:top w:val="single" w:sz="6" w:space="0" w:color="000000"/>
              <w:left w:val="single" w:sz="6" w:space="0" w:color="000000"/>
              <w:bottom w:val="single" w:sz="6" w:space="0" w:color="000000"/>
              <w:right w:val="single" w:sz="6" w:space="0" w:color="000000"/>
            </w:tcBorders>
            <w:shd w:val="clear" w:color="auto" w:fill="auto"/>
            <w:hideMark/>
          </w:tcPr>
          <w:p w14:paraId="1C1C6B6A" w14:textId="77777777" w:rsidR="0046020E" w:rsidRPr="00484AE0" w:rsidRDefault="0046020E" w:rsidP="002A04BE">
            <w:pPr>
              <w:spacing w:after="0"/>
            </w:pPr>
            <w:r w:rsidRPr="00484AE0">
              <w:t xml:space="preserve">JCWP jeziorne </w:t>
            </w:r>
          </w:p>
        </w:tc>
        <w:tc>
          <w:tcPr>
            <w:tcW w:w="5103" w:type="dxa"/>
            <w:tcBorders>
              <w:top w:val="nil"/>
              <w:left w:val="single" w:sz="4" w:space="0" w:color="auto"/>
              <w:bottom w:val="single" w:sz="4" w:space="0" w:color="auto"/>
              <w:right w:val="single" w:sz="4" w:space="0" w:color="auto"/>
            </w:tcBorders>
            <w:shd w:val="clear" w:color="auto" w:fill="auto"/>
          </w:tcPr>
          <w:p w14:paraId="095195A8" w14:textId="77777777" w:rsidR="0046020E" w:rsidRPr="00484AE0" w:rsidRDefault="0046020E" w:rsidP="002A04BE">
            <w:pPr>
              <w:spacing w:after="0"/>
              <w:jc w:val="center"/>
              <w:rPr>
                <w:rFonts w:cstheme="minorHAnsi"/>
              </w:rPr>
            </w:pPr>
            <w:r w:rsidRPr="00484AE0">
              <w:t>0,33</w:t>
            </w:r>
          </w:p>
        </w:tc>
      </w:tr>
      <w:tr w:rsidR="0046020E" w:rsidRPr="00484AE0" w14:paraId="09550151" w14:textId="77777777" w:rsidTr="00160BD4">
        <w:trPr>
          <w:trHeight w:val="238"/>
        </w:trPr>
        <w:tc>
          <w:tcPr>
            <w:tcW w:w="3961" w:type="dxa"/>
            <w:tcBorders>
              <w:top w:val="single" w:sz="6" w:space="0" w:color="000000"/>
              <w:left w:val="single" w:sz="6" w:space="0" w:color="000000"/>
              <w:bottom w:val="single" w:sz="4" w:space="0" w:color="auto"/>
              <w:right w:val="single" w:sz="6" w:space="0" w:color="000000"/>
            </w:tcBorders>
            <w:shd w:val="clear" w:color="auto" w:fill="auto"/>
            <w:hideMark/>
          </w:tcPr>
          <w:p w14:paraId="4E17CB10" w14:textId="77777777" w:rsidR="0046020E" w:rsidRPr="00484AE0" w:rsidRDefault="0046020E" w:rsidP="002A04BE">
            <w:pPr>
              <w:spacing w:after="0"/>
            </w:pPr>
            <w:r w:rsidRPr="00484AE0">
              <w:t xml:space="preserve">JCWP przejściowe </w:t>
            </w:r>
          </w:p>
        </w:tc>
        <w:tc>
          <w:tcPr>
            <w:tcW w:w="5103" w:type="dxa"/>
            <w:tcBorders>
              <w:top w:val="nil"/>
              <w:left w:val="single" w:sz="4" w:space="0" w:color="auto"/>
              <w:bottom w:val="single" w:sz="4" w:space="0" w:color="auto"/>
              <w:right w:val="single" w:sz="4" w:space="0" w:color="auto"/>
            </w:tcBorders>
            <w:shd w:val="clear" w:color="auto" w:fill="auto"/>
          </w:tcPr>
          <w:p w14:paraId="01D5FCEF" w14:textId="77777777" w:rsidR="0046020E" w:rsidRPr="00484AE0" w:rsidRDefault="0046020E" w:rsidP="002A04BE">
            <w:pPr>
              <w:spacing w:after="0"/>
              <w:jc w:val="center"/>
              <w:rPr>
                <w:rFonts w:cstheme="minorHAnsi"/>
              </w:rPr>
            </w:pPr>
            <w:r w:rsidRPr="00484AE0">
              <w:t>11,11</w:t>
            </w:r>
          </w:p>
        </w:tc>
      </w:tr>
      <w:tr w:rsidR="0046020E" w:rsidRPr="00484AE0" w14:paraId="74DD28DF" w14:textId="77777777" w:rsidTr="00160BD4">
        <w:trPr>
          <w:trHeight w:val="238"/>
        </w:trPr>
        <w:tc>
          <w:tcPr>
            <w:tcW w:w="3961" w:type="dxa"/>
            <w:tcBorders>
              <w:top w:val="single" w:sz="4" w:space="0" w:color="auto"/>
              <w:left w:val="single" w:sz="4" w:space="0" w:color="auto"/>
              <w:bottom w:val="single" w:sz="4" w:space="0" w:color="auto"/>
              <w:right w:val="single" w:sz="4" w:space="0" w:color="auto"/>
            </w:tcBorders>
            <w:shd w:val="clear" w:color="auto" w:fill="auto"/>
            <w:hideMark/>
          </w:tcPr>
          <w:p w14:paraId="1D204584" w14:textId="77777777" w:rsidR="0046020E" w:rsidRPr="00484AE0" w:rsidRDefault="0046020E" w:rsidP="002A04BE">
            <w:pPr>
              <w:spacing w:after="0"/>
            </w:pPr>
            <w:r w:rsidRPr="00484AE0">
              <w:t xml:space="preserve">JCWP przybrzeżne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A178F30" w14:textId="77777777" w:rsidR="0046020E" w:rsidRPr="00484AE0" w:rsidRDefault="0046020E" w:rsidP="002A04BE">
            <w:pPr>
              <w:spacing w:after="0"/>
              <w:jc w:val="center"/>
              <w:rPr>
                <w:rFonts w:cstheme="minorHAnsi"/>
              </w:rPr>
            </w:pPr>
            <w:r w:rsidRPr="00484AE0">
              <w:t>0,00</w:t>
            </w:r>
          </w:p>
        </w:tc>
      </w:tr>
    </w:tbl>
    <w:p w14:paraId="6375E1FB" w14:textId="77777777" w:rsidR="0046020E" w:rsidRPr="00484AE0" w:rsidRDefault="0046020E" w:rsidP="00DF7781">
      <w:pPr>
        <w:jc w:val="both"/>
        <w:rPr>
          <w:sz w:val="20"/>
          <w:szCs w:val="20"/>
        </w:rPr>
      </w:pPr>
      <w:r w:rsidRPr="00484AE0">
        <w:rPr>
          <w:sz w:val="20"/>
          <w:szCs w:val="20"/>
        </w:rPr>
        <w:sym w:font="Symbol" w:char="F02A"/>
      </w:r>
      <w:r w:rsidRPr="00484AE0">
        <w:rPr>
          <w:sz w:val="20"/>
          <w:szCs w:val="20"/>
        </w:rPr>
        <w:t xml:space="preserve"> wartości procentowe przeliczone w odniesieniu do całkowitej liczby punktów w których badano azot azotanowy w latach 2016-2020</w:t>
      </w:r>
    </w:p>
    <w:p w14:paraId="77C8DB13" w14:textId="77777777" w:rsidR="0046020E" w:rsidRPr="00484AE0" w:rsidRDefault="0046020E" w:rsidP="002A04BE">
      <w:pPr>
        <w:pStyle w:val="OSNpodstawowy"/>
        <w:spacing w:before="0" w:after="0" w:line="259" w:lineRule="auto"/>
        <w:ind w:firstLine="0"/>
        <w:rPr>
          <w:rFonts w:cstheme="minorHAnsi"/>
          <w:sz w:val="22"/>
          <w:szCs w:val="22"/>
        </w:rPr>
      </w:pPr>
      <w:r w:rsidRPr="00484AE0">
        <w:rPr>
          <w:rFonts w:eastAsiaTheme="minorHAnsi" w:cstheme="majorBidi"/>
          <w:iCs/>
          <w:sz w:val="22"/>
          <w:szCs w:val="22"/>
        </w:rPr>
        <w:t xml:space="preserve">Na przestrzeni lat 2016-2020, </w:t>
      </w:r>
      <w:r w:rsidRPr="00484AE0">
        <w:rPr>
          <w:rFonts w:cstheme="minorHAnsi"/>
          <w:sz w:val="22"/>
          <w:szCs w:val="22"/>
        </w:rPr>
        <w:t>przekroczenie stężenia średniej rocznej wartości azotanów powyżej 25 mg/l, stwierdzono w 290 punktach pomiarowo-kontrolnych, w tym:</w:t>
      </w:r>
    </w:p>
    <w:p w14:paraId="6F894EED" w14:textId="77777777" w:rsidR="0046020E" w:rsidRPr="00484AE0" w:rsidRDefault="0046020E" w:rsidP="002A04BE">
      <w:pPr>
        <w:pStyle w:val="OSNpodstawowy"/>
        <w:numPr>
          <w:ilvl w:val="0"/>
          <w:numId w:val="25"/>
        </w:numPr>
        <w:spacing w:before="0" w:after="0" w:line="259" w:lineRule="auto"/>
        <w:rPr>
          <w:rFonts w:cstheme="minorHAnsi"/>
          <w:sz w:val="22"/>
          <w:szCs w:val="22"/>
        </w:rPr>
      </w:pPr>
      <w:r w:rsidRPr="00484AE0">
        <w:rPr>
          <w:rFonts w:cstheme="minorHAnsi"/>
          <w:sz w:val="22"/>
          <w:szCs w:val="22"/>
        </w:rPr>
        <w:t xml:space="preserve">w 287 </w:t>
      </w:r>
      <w:proofErr w:type="spellStart"/>
      <w:r w:rsidRPr="00484AE0">
        <w:rPr>
          <w:rFonts w:cstheme="minorHAnsi"/>
          <w:sz w:val="22"/>
          <w:szCs w:val="22"/>
        </w:rPr>
        <w:t>ppk</w:t>
      </w:r>
      <w:proofErr w:type="spellEnd"/>
      <w:r w:rsidRPr="00484AE0">
        <w:rPr>
          <w:rFonts w:cstheme="minorHAnsi"/>
          <w:sz w:val="22"/>
          <w:szCs w:val="22"/>
        </w:rPr>
        <w:t xml:space="preserve"> monitoringu rzek, </w:t>
      </w:r>
    </w:p>
    <w:p w14:paraId="01A5D103" w14:textId="74A372C3" w:rsidR="0046020E" w:rsidRPr="00484AE0" w:rsidRDefault="00700C6E" w:rsidP="002A04BE">
      <w:pPr>
        <w:pStyle w:val="OSNpodstawowy"/>
        <w:numPr>
          <w:ilvl w:val="0"/>
          <w:numId w:val="25"/>
        </w:numPr>
        <w:spacing w:before="0" w:after="0" w:line="259" w:lineRule="auto"/>
        <w:rPr>
          <w:rFonts w:cstheme="minorHAnsi"/>
          <w:sz w:val="22"/>
          <w:szCs w:val="22"/>
        </w:rPr>
      </w:pPr>
      <w:r>
        <w:rPr>
          <w:rFonts w:cstheme="minorHAnsi"/>
          <w:sz w:val="22"/>
          <w:szCs w:val="22"/>
        </w:rPr>
        <w:t xml:space="preserve">w </w:t>
      </w:r>
      <w:r w:rsidR="0046020E" w:rsidRPr="00484AE0">
        <w:rPr>
          <w:rFonts w:cstheme="minorHAnsi"/>
          <w:sz w:val="22"/>
          <w:szCs w:val="22"/>
        </w:rPr>
        <w:t xml:space="preserve">2 </w:t>
      </w:r>
      <w:proofErr w:type="spellStart"/>
      <w:r w:rsidR="0046020E" w:rsidRPr="00484AE0">
        <w:rPr>
          <w:rFonts w:cstheme="minorHAnsi"/>
          <w:sz w:val="22"/>
          <w:szCs w:val="22"/>
        </w:rPr>
        <w:t>ppk</w:t>
      </w:r>
      <w:proofErr w:type="spellEnd"/>
      <w:r w:rsidR="0046020E" w:rsidRPr="00484AE0">
        <w:rPr>
          <w:rFonts w:cstheme="minorHAnsi"/>
          <w:sz w:val="22"/>
          <w:szCs w:val="22"/>
        </w:rPr>
        <w:t xml:space="preserve"> monitoringu jezior,</w:t>
      </w:r>
    </w:p>
    <w:p w14:paraId="51501DC1" w14:textId="0ADE143C" w:rsidR="0046020E" w:rsidRPr="00484AE0" w:rsidRDefault="00700C6E" w:rsidP="002A04BE">
      <w:pPr>
        <w:pStyle w:val="OSNpodstawowy"/>
        <w:numPr>
          <w:ilvl w:val="0"/>
          <w:numId w:val="25"/>
        </w:numPr>
        <w:spacing w:before="0" w:after="0" w:line="259" w:lineRule="auto"/>
        <w:rPr>
          <w:rFonts w:cstheme="minorHAnsi"/>
          <w:sz w:val="22"/>
          <w:szCs w:val="22"/>
        </w:rPr>
      </w:pPr>
      <w:r>
        <w:rPr>
          <w:rFonts w:cstheme="minorHAnsi"/>
          <w:sz w:val="22"/>
          <w:szCs w:val="22"/>
        </w:rPr>
        <w:t xml:space="preserve">w </w:t>
      </w:r>
      <w:r w:rsidR="0046020E" w:rsidRPr="00484AE0">
        <w:rPr>
          <w:rFonts w:cstheme="minorHAnsi"/>
          <w:sz w:val="22"/>
          <w:szCs w:val="22"/>
        </w:rPr>
        <w:t xml:space="preserve">1 </w:t>
      </w:r>
      <w:proofErr w:type="spellStart"/>
      <w:r w:rsidR="0046020E" w:rsidRPr="00484AE0">
        <w:rPr>
          <w:rFonts w:cstheme="minorHAnsi"/>
          <w:sz w:val="22"/>
          <w:szCs w:val="22"/>
        </w:rPr>
        <w:t>ppk</w:t>
      </w:r>
      <w:proofErr w:type="spellEnd"/>
      <w:r w:rsidR="0046020E" w:rsidRPr="00484AE0">
        <w:rPr>
          <w:rFonts w:cstheme="minorHAnsi"/>
          <w:sz w:val="22"/>
          <w:szCs w:val="22"/>
        </w:rPr>
        <w:t xml:space="preserve"> monitoringu wód przejściowych. </w:t>
      </w:r>
    </w:p>
    <w:p w14:paraId="099261C4" w14:textId="311C0828" w:rsidR="0046020E" w:rsidRPr="00484AE0" w:rsidRDefault="0046020E" w:rsidP="00B206A6">
      <w:pPr>
        <w:pStyle w:val="OSNpodstawowy"/>
        <w:spacing w:after="0" w:line="259" w:lineRule="auto"/>
        <w:ind w:firstLine="0"/>
        <w:rPr>
          <w:rFonts w:cstheme="minorHAnsi"/>
          <w:sz w:val="22"/>
          <w:szCs w:val="22"/>
        </w:rPr>
      </w:pPr>
      <w:r w:rsidRPr="00484AE0">
        <w:rPr>
          <w:rFonts w:cstheme="minorHAnsi"/>
          <w:sz w:val="22"/>
          <w:szCs w:val="22"/>
        </w:rPr>
        <w:t xml:space="preserve">Punkty te zlokalizowane są w granicach 243 </w:t>
      </w:r>
      <w:r w:rsidR="008B1D9E">
        <w:rPr>
          <w:rFonts w:cstheme="minorHAnsi"/>
          <w:sz w:val="22"/>
          <w:szCs w:val="22"/>
        </w:rPr>
        <w:t>JCWP</w:t>
      </w:r>
      <w:r w:rsidRPr="00484AE0">
        <w:rPr>
          <w:rFonts w:cstheme="minorHAnsi"/>
          <w:sz w:val="22"/>
          <w:szCs w:val="22"/>
        </w:rPr>
        <w:t xml:space="preserve">. </w:t>
      </w:r>
      <w:r w:rsidRPr="00484AE0">
        <w:rPr>
          <w:rFonts w:cs="ArialNarrow"/>
          <w:sz w:val="22"/>
          <w:szCs w:val="22"/>
        </w:rPr>
        <w:t>S</w:t>
      </w:r>
      <w:r w:rsidRPr="00484AE0">
        <w:rPr>
          <w:sz w:val="22"/>
          <w:szCs w:val="22"/>
        </w:rPr>
        <w:t>tężenia azotanów przekraczające 25 mg</w:t>
      </w:r>
      <w:r w:rsidRPr="00484AE0">
        <w:rPr>
          <w:rFonts w:cstheme="minorHAnsi"/>
          <w:sz w:val="22"/>
          <w:szCs w:val="22"/>
        </w:rPr>
        <w:t xml:space="preserve"> NO</w:t>
      </w:r>
      <w:r w:rsidRPr="00484AE0">
        <w:rPr>
          <w:rFonts w:cstheme="minorHAnsi"/>
          <w:sz w:val="22"/>
          <w:szCs w:val="22"/>
          <w:vertAlign w:val="subscript"/>
        </w:rPr>
        <w:t>3</w:t>
      </w:r>
      <w:r w:rsidRPr="00484AE0">
        <w:rPr>
          <w:sz w:val="22"/>
          <w:szCs w:val="22"/>
        </w:rPr>
        <w:t xml:space="preserve">/l zaobserwowano w 7,82% </w:t>
      </w:r>
      <w:proofErr w:type="spellStart"/>
      <w:r w:rsidRPr="00484AE0">
        <w:rPr>
          <w:sz w:val="22"/>
          <w:szCs w:val="22"/>
        </w:rPr>
        <w:t>ppk</w:t>
      </w:r>
      <w:proofErr w:type="spellEnd"/>
      <w:r w:rsidRPr="00484AE0">
        <w:rPr>
          <w:sz w:val="22"/>
          <w:szCs w:val="22"/>
        </w:rPr>
        <w:t xml:space="preserve"> monitorowania rzek, 11,11% </w:t>
      </w:r>
      <w:proofErr w:type="spellStart"/>
      <w:r w:rsidRPr="00484AE0">
        <w:rPr>
          <w:sz w:val="22"/>
          <w:szCs w:val="22"/>
        </w:rPr>
        <w:t>ppk</w:t>
      </w:r>
      <w:proofErr w:type="spellEnd"/>
      <w:r w:rsidRPr="00484AE0">
        <w:rPr>
          <w:sz w:val="22"/>
          <w:szCs w:val="22"/>
        </w:rPr>
        <w:t xml:space="preserve"> monitoringu wód przejściowych oraz </w:t>
      </w:r>
      <w:r w:rsidR="00700C6E">
        <w:rPr>
          <w:sz w:val="22"/>
          <w:szCs w:val="22"/>
        </w:rPr>
        <w:t>0,33</w:t>
      </w:r>
      <w:r w:rsidRPr="00484AE0">
        <w:rPr>
          <w:sz w:val="22"/>
          <w:szCs w:val="22"/>
        </w:rPr>
        <w:t xml:space="preserve">% </w:t>
      </w:r>
      <w:proofErr w:type="spellStart"/>
      <w:r w:rsidRPr="00484AE0">
        <w:rPr>
          <w:sz w:val="22"/>
          <w:szCs w:val="22"/>
        </w:rPr>
        <w:t>ppk</w:t>
      </w:r>
      <w:proofErr w:type="spellEnd"/>
      <w:r w:rsidRPr="00484AE0">
        <w:rPr>
          <w:sz w:val="22"/>
          <w:szCs w:val="22"/>
        </w:rPr>
        <w:t xml:space="preserve"> monitoringu jezior. </w:t>
      </w:r>
    </w:p>
    <w:p w14:paraId="4FBD4351" w14:textId="1B71B01D" w:rsidR="0046020E" w:rsidRPr="00484AE0" w:rsidRDefault="0046020E" w:rsidP="002A04BE">
      <w:pPr>
        <w:autoSpaceDE w:val="0"/>
        <w:autoSpaceDN w:val="0"/>
        <w:adjustRightInd w:val="0"/>
        <w:spacing w:after="0"/>
        <w:jc w:val="both"/>
        <w:sectPr w:rsidR="0046020E" w:rsidRPr="00484AE0">
          <w:pgSz w:w="11906" w:h="16838"/>
          <w:pgMar w:top="1417" w:right="1417" w:bottom="1417" w:left="1417" w:header="708" w:footer="708" w:gutter="0"/>
          <w:cols w:space="708"/>
          <w:docGrid w:linePitch="360"/>
        </w:sectPr>
      </w:pPr>
      <w:r w:rsidRPr="00484AE0">
        <w:t xml:space="preserve">Lokalizację punktów pomiarowych, </w:t>
      </w:r>
      <w:r w:rsidRPr="00484AE0">
        <w:rPr>
          <w:rFonts w:cstheme="minorHAnsi"/>
        </w:rPr>
        <w:t>w których stwierdzono przekroczenia stężenia 25 mg NO</w:t>
      </w:r>
      <w:r w:rsidRPr="00484AE0">
        <w:rPr>
          <w:rFonts w:cstheme="minorHAnsi"/>
          <w:vertAlign w:val="subscript"/>
        </w:rPr>
        <w:t>3</w:t>
      </w:r>
      <w:r w:rsidRPr="00484AE0">
        <w:rPr>
          <w:rFonts w:cstheme="minorHAnsi"/>
        </w:rPr>
        <w:t>/dm</w:t>
      </w:r>
      <w:r w:rsidRPr="00484AE0">
        <w:rPr>
          <w:rFonts w:cstheme="minorHAnsi"/>
          <w:vertAlign w:val="superscript"/>
        </w:rPr>
        <w:t>3</w:t>
      </w:r>
      <w:r w:rsidRPr="00484AE0">
        <w:rPr>
          <w:rFonts w:cstheme="minorHAnsi"/>
        </w:rPr>
        <w:t xml:space="preserve"> w okresie 2016-2020 r. </w:t>
      </w:r>
      <w:r w:rsidRPr="00484AE0">
        <w:t xml:space="preserve">przedstawia poniższy rysunek. Rozmieszczenie punktów wskazuje na ich koncentrację w centralnej części Polski. </w:t>
      </w:r>
    </w:p>
    <w:p w14:paraId="2ACC4D39" w14:textId="14526EF8" w:rsidR="0046020E" w:rsidRPr="00B149E0" w:rsidRDefault="0046020E" w:rsidP="00B149E0">
      <w:pPr>
        <w:pStyle w:val="Legenda"/>
        <w:spacing w:line="259" w:lineRule="auto"/>
        <w:jc w:val="both"/>
        <w:rPr>
          <w:i w:val="0"/>
          <w:iCs w:val="0"/>
          <w:color w:val="2F5496" w:themeColor="accent1" w:themeShade="BF"/>
          <w:sz w:val="20"/>
        </w:rPr>
      </w:pPr>
      <w:r w:rsidRPr="00B149E0">
        <w:rPr>
          <w:i w:val="0"/>
          <w:iCs w:val="0"/>
          <w:noProof/>
          <w:color w:val="2F5496" w:themeColor="accent1" w:themeShade="BF"/>
          <w:lang w:eastAsia="pl-PL"/>
        </w:rPr>
        <w:lastRenderedPageBreak/>
        <w:drawing>
          <wp:anchor distT="0" distB="0" distL="114300" distR="114300" simplePos="0" relativeHeight="251669504" behindDoc="0" locked="0" layoutInCell="1" allowOverlap="1" wp14:anchorId="1584B2C1" wp14:editId="1ECA40E6">
            <wp:simplePos x="0" y="0"/>
            <wp:positionH relativeFrom="margin">
              <wp:align>left</wp:align>
            </wp:positionH>
            <wp:positionV relativeFrom="paragraph">
              <wp:posOffset>349825</wp:posOffset>
            </wp:positionV>
            <wp:extent cx="5985510" cy="7261860"/>
            <wp:effectExtent l="0" t="0" r="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5510" cy="726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9E0">
        <w:rPr>
          <w:i w:val="0"/>
          <w:iCs w:val="0"/>
          <w:color w:val="2F5496" w:themeColor="accent1" w:themeShade="BF"/>
        </w:rPr>
        <w:t xml:space="preserve">Rysunek </w:t>
      </w:r>
      <w:r w:rsidRPr="00B149E0">
        <w:rPr>
          <w:i w:val="0"/>
          <w:iCs w:val="0"/>
          <w:color w:val="2F5496" w:themeColor="accent1" w:themeShade="BF"/>
        </w:rPr>
        <w:fldChar w:fldCharType="begin"/>
      </w:r>
      <w:r w:rsidRPr="00B149E0">
        <w:rPr>
          <w:i w:val="0"/>
          <w:iCs w:val="0"/>
          <w:color w:val="2F5496" w:themeColor="accent1" w:themeShade="BF"/>
        </w:rPr>
        <w:instrText xml:space="preserve"> SEQ Rysunek \* ARABIC </w:instrText>
      </w:r>
      <w:r w:rsidRPr="00B149E0">
        <w:rPr>
          <w:i w:val="0"/>
          <w:iCs w:val="0"/>
          <w:color w:val="2F5496" w:themeColor="accent1" w:themeShade="BF"/>
        </w:rPr>
        <w:fldChar w:fldCharType="separate"/>
      </w:r>
      <w:r w:rsidRPr="00B149E0">
        <w:rPr>
          <w:i w:val="0"/>
          <w:iCs w:val="0"/>
          <w:noProof/>
          <w:color w:val="2F5496" w:themeColor="accent1" w:themeShade="BF"/>
        </w:rPr>
        <w:t>2</w:t>
      </w:r>
      <w:r w:rsidRPr="00B149E0">
        <w:rPr>
          <w:i w:val="0"/>
          <w:iCs w:val="0"/>
          <w:color w:val="2F5496" w:themeColor="accent1" w:themeShade="BF"/>
        </w:rPr>
        <w:fldChar w:fldCharType="end"/>
      </w:r>
      <w:r w:rsidRPr="00B149E0">
        <w:rPr>
          <w:i w:val="0"/>
          <w:iCs w:val="0"/>
          <w:color w:val="2F5496" w:themeColor="accent1" w:themeShade="BF"/>
        </w:rPr>
        <w:t xml:space="preserve">. </w:t>
      </w:r>
      <w:r w:rsidRPr="00B149E0">
        <w:rPr>
          <w:i w:val="0"/>
          <w:iCs w:val="0"/>
          <w:color w:val="2F5496" w:themeColor="accent1" w:themeShade="BF"/>
          <w:sz w:val="20"/>
        </w:rPr>
        <w:t>Punkty pomiarowe w ramach PMŚ, w których stwierdzono przekroczenia stężenia 25 mg NO</w:t>
      </w:r>
      <w:r w:rsidRPr="00B149E0">
        <w:rPr>
          <w:i w:val="0"/>
          <w:iCs w:val="0"/>
          <w:color w:val="2F5496" w:themeColor="accent1" w:themeShade="BF"/>
          <w:sz w:val="20"/>
          <w:vertAlign w:val="subscript"/>
        </w:rPr>
        <w:t>3</w:t>
      </w:r>
      <w:r w:rsidR="00EA27EB">
        <w:rPr>
          <w:i w:val="0"/>
          <w:iCs w:val="0"/>
          <w:color w:val="2F5496" w:themeColor="accent1" w:themeShade="BF"/>
          <w:sz w:val="20"/>
        </w:rPr>
        <w:t>/l w </w:t>
      </w:r>
      <w:r w:rsidRPr="00B149E0">
        <w:rPr>
          <w:i w:val="0"/>
          <w:iCs w:val="0"/>
          <w:color w:val="2F5496" w:themeColor="accent1" w:themeShade="BF"/>
          <w:sz w:val="20"/>
        </w:rPr>
        <w:t xml:space="preserve">okresie 2016-2020 r. </w:t>
      </w:r>
    </w:p>
    <w:p w14:paraId="7F5A088A" w14:textId="40280D8D" w:rsidR="0046020E" w:rsidRPr="00ED6754" w:rsidRDefault="00ED6754" w:rsidP="002A04BE">
      <w:pPr>
        <w:spacing w:after="0"/>
        <w:jc w:val="both"/>
        <w:rPr>
          <w:rFonts w:cstheme="minorHAnsi"/>
          <w:sz w:val="20"/>
          <w:szCs w:val="20"/>
        </w:rPr>
        <w:sectPr w:rsidR="0046020E" w:rsidRPr="00ED6754">
          <w:pgSz w:w="11906" w:h="16838"/>
          <w:pgMar w:top="1417" w:right="1417" w:bottom="1417" w:left="1417" w:header="708" w:footer="708" w:gutter="0"/>
          <w:cols w:space="708"/>
          <w:docGrid w:linePitch="360"/>
        </w:sectPr>
      </w:pPr>
      <w:r w:rsidRPr="00ED6754">
        <w:rPr>
          <w:rFonts w:cstheme="minorHAnsi"/>
          <w:sz w:val="20"/>
          <w:szCs w:val="20"/>
        </w:rPr>
        <w:t xml:space="preserve">Źródło: opracowano na podstawie Sprawozdania z realizacji dyrektywy 91/676/EWG (azotanowej) w latach 2016-2020 oraz wyników PMŚ z 2020 r.  </w:t>
      </w:r>
    </w:p>
    <w:p w14:paraId="3C068DF2" w14:textId="77777777" w:rsidR="0046020E" w:rsidRPr="00484AE0" w:rsidRDefault="0046020E" w:rsidP="00D4178D">
      <w:pPr>
        <w:pStyle w:val="Akapitzlist"/>
        <w:keepNext/>
        <w:numPr>
          <w:ilvl w:val="2"/>
          <w:numId w:val="21"/>
        </w:numPr>
        <w:ind w:left="1418" w:hanging="567"/>
        <w:jc w:val="both"/>
        <w:rPr>
          <w:rStyle w:val="Wyrnienieintensywne"/>
          <w:rFonts w:asciiTheme="majorHAnsi" w:hAnsiTheme="majorHAnsi"/>
          <w:b w:val="0"/>
          <w:bCs w:val="0"/>
          <w:color w:val="2F5496" w:themeColor="accent1" w:themeShade="BF"/>
        </w:rPr>
      </w:pPr>
      <w:r w:rsidRPr="00484AE0">
        <w:rPr>
          <w:rStyle w:val="Wyrnienieintensywne"/>
          <w:rFonts w:asciiTheme="majorHAnsi" w:hAnsiTheme="majorHAnsi"/>
          <w:b w:val="0"/>
          <w:bCs w:val="0"/>
          <w:color w:val="2F5496" w:themeColor="accent1" w:themeShade="BF"/>
        </w:rPr>
        <w:lastRenderedPageBreak/>
        <w:t xml:space="preserve">Analiza trendów w latach 2012-2020 w zakresie stężeń azotanów w poszczególnych </w:t>
      </w:r>
      <w:proofErr w:type="spellStart"/>
      <w:r w:rsidRPr="00484AE0">
        <w:rPr>
          <w:rStyle w:val="Wyrnienieintensywne"/>
          <w:rFonts w:asciiTheme="majorHAnsi" w:hAnsiTheme="majorHAnsi"/>
          <w:b w:val="0"/>
          <w:bCs w:val="0"/>
          <w:color w:val="2F5496" w:themeColor="accent1" w:themeShade="BF"/>
        </w:rPr>
        <w:t>ppk</w:t>
      </w:r>
      <w:proofErr w:type="spellEnd"/>
    </w:p>
    <w:p w14:paraId="6D5CA083" w14:textId="3719A0D1" w:rsidR="0046020E" w:rsidRPr="00484AE0" w:rsidRDefault="0046020E" w:rsidP="002A04BE">
      <w:pPr>
        <w:spacing w:after="0"/>
        <w:jc w:val="both"/>
        <w:rPr>
          <w:rFonts w:cstheme="minorHAnsi"/>
        </w:rPr>
      </w:pPr>
      <w:r w:rsidRPr="00484AE0">
        <w:rPr>
          <w:rFonts w:cstheme="minorHAnsi"/>
        </w:rPr>
        <w:t xml:space="preserve">Analiza trendów została oparta na wartościach średnich rocznych stężeń azotanów w punktach pomiarowych z okresu 2012-2020. </w:t>
      </w:r>
      <w:r w:rsidRPr="00484AE0">
        <w:rPr>
          <w:color w:val="000000"/>
        </w:rPr>
        <w:t xml:space="preserve">Analizę trendów przeprowadzono w punktach, dla których </w:t>
      </w:r>
      <w:r w:rsidR="00A70976">
        <w:rPr>
          <w:rFonts w:eastAsia="Times New Roman" w:cstheme="minorHAnsi"/>
          <w:color w:val="000000"/>
        </w:rPr>
        <w:t xml:space="preserve">dostępne były </w:t>
      </w:r>
      <w:r w:rsidRPr="00484AE0">
        <w:rPr>
          <w:color w:val="000000"/>
        </w:rPr>
        <w:t xml:space="preserve">co najmniej trzy </w:t>
      </w:r>
      <w:r w:rsidRPr="00484AE0">
        <w:rPr>
          <w:rFonts w:eastAsia="Times New Roman" w:cstheme="minorHAnsi"/>
          <w:color w:val="000000"/>
        </w:rPr>
        <w:t xml:space="preserve">pomiary </w:t>
      </w:r>
      <w:r w:rsidRPr="00484AE0">
        <w:rPr>
          <w:color w:val="000000"/>
        </w:rPr>
        <w:t xml:space="preserve">w przyjętym ciągu czasowym, w tym jeden pomiar w 2020 roku i co najmniej jeden wynik w </w:t>
      </w:r>
      <w:proofErr w:type="spellStart"/>
      <w:r w:rsidRPr="00484AE0">
        <w:rPr>
          <w:color w:val="000000"/>
        </w:rPr>
        <w:t>wieloleciu</w:t>
      </w:r>
      <w:proofErr w:type="spellEnd"/>
      <w:r w:rsidRPr="00484AE0">
        <w:rPr>
          <w:color w:val="000000"/>
        </w:rPr>
        <w:t xml:space="preserve"> 2016-2019. </w:t>
      </w:r>
      <w:r w:rsidRPr="00484AE0">
        <w:rPr>
          <w:rFonts w:cstheme="minorHAnsi"/>
        </w:rPr>
        <w:t xml:space="preserve">Analizę trendów przeprowadzono </w:t>
      </w:r>
      <w:r w:rsidR="009A225D">
        <w:rPr>
          <w:rFonts w:cstheme="minorHAnsi"/>
        </w:rPr>
        <w:t>z zastosowaniem</w:t>
      </w:r>
      <w:r w:rsidRPr="00484AE0">
        <w:rPr>
          <w:rFonts w:cstheme="minorHAnsi"/>
        </w:rPr>
        <w:t xml:space="preserve"> funkcj</w:t>
      </w:r>
      <w:r w:rsidR="009A225D">
        <w:rPr>
          <w:rFonts w:cstheme="minorHAnsi"/>
        </w:rPr>
        <w:t>i</w:t>
      </w:r>
      <w:r w:rsidRPr="00484AE0">
        <w:rPr>
          <w:rFonts w:cstheme="minorHAnsi"/>
        </w:rPr>
        <w:t>: nachylenie</w:t>
      </w:r>
      <w:r w:rsidR="009A225D">
        <w:rPr>
          <w:rFonts w:cstheme="minorHAnsi"/>
        </w:rPr>
        <w:t xml:space="preserve"> dostępnej w </w:t>
      </w:r>
      <w:r w:rsidR="009A225D" w:rsidRPr="00484AE0">
        <w:rPr>
          <w:rFonts w:cstheme="minorHAnsi"/>
        </w:rPr>
        <w:t>program</w:t>
      </w:r>
      <w:r w:rsidR="009A225D">
        <w:rPr>
          <w:rFonts w:cstheme="minorHAnsi"/>
        </w:rPr>
        <w:t>ie</w:t>
      </w:r>
      <w:r w:rsidR="009A225D" w:rsidRPr="00484AE0">
        <w:rPr>
          <w:rFonts w:cstheme="minorHAnsi"/>
        </w:rPr>
        <w:t xml:space="preserve"> Microsoft Excel</w:t>
      </w:r>
      <w:r w:rsidRPr="00484AE0">
        <w:rPr>
          <w:rFonts w:cstheme="minorHAnsi"/>
        </w:rPr>
        <w:t>). Na podstawie uzyskanych wyników określono trendy malejące, stałe i rosnące. Ponadto w wyniku ekstrapolacji funkcji trendu uzyskano prognozowane wartości stężeń azotanów w 2023 r., tj. na koniec kolejnego okresu sprawozdawczego z wdrażania dyrektywy 91/676/EWG.</w:t>
      </w:r>
    </w:p>
    <w:p w14:paraId="1586AE77" w14:textId="6D3B4458" w:rsidR="0046020E" w:rsidRPr="00484AE0" w:rsidRDefault="0046020E" w:rsidP="002A04BE">
      <w:pPr>
        <w:autoSpaceDE w:val="0"/>
        <w:autoSpaceDN w:val="0"/>
        <w:adjustRightInd w:val="0"/>
        <w:spacing w:after="0"/>
        <w:jc w:val="both"/>
        <w:rPr>
          <w:rFonts w:cstheme="minorHAnsi"/>
        </w:rPr>
      </w:pPr>
      <w:r w:rsidRPr="00484AE0">
        <w:rPr>
          <w:rFonts w:cstheme="minorHAnsi"/>
        </w:rPr>
        <w:t xml:space="preserve">Wyniki analizy według zastosowanej metody mają charakter orientacyjny, ze względu na niepewność statystyczną wyznaczonych trendów wynikającą z różnej liczebności wyników średnich rocznych </w:t>
      </w:r>
      <w:r w:rsidR="0087183D">
        <w:rPr>
          <w:rFonts w:cstheme="minorHAnsi"/>
        </w:rPr>
        <w:t xml:space="preserve">stężeń azotanów </w:t>
      </w:r>
      <w:r w:rsidRPr="00484AE0">
        <w:rPr>
          <w:rFonts w:cstheme="minorHAnsi"/>
        </w:rPr>
        <w:t xml:space="preserve">w okresie 2012- 2020 oraz różnej jakości dopasowania funkcji </w:t>
      </w:r>
      <w:r w:rsidR="00B82A08">
        <w:rPr>
          <w:rFonts w:cstheme="minorHAnsi"/>
        </w:rPr>
        <w:t>ze względu na</w:t>
      </w:r>
      <w:r w:rsidR="00B82A08" w:rsidRPr="00484AE0">
        <w:rPr>
          <w:rFonts w:cstheme="minorHAnsi"/>
        </w:rPr>
        <w:t xml:space="preserve"> </w:t>
      </w:r>
      <w:r w:rsidR="00825F5E">
        <w:rPr>
          <w:rFonts w:cstheme="minorHAnsi"/>
        </w:rPr>
        <w:t xml:space="preserve">rozkład </w:t>
      </w:r>
      <w:r w:rsidRPr="00484AE0">
        <w:rPr>
          <w:rFonts w:cstheme="minorHAnsi"/>
        </w:rPr>
        <w:t>wartości średni</w:t>
      </w:r>
      <w:r w:rsidR="00825F5E">
        <w:rPr>
          <w:rFonts w:cstheme="minorHAnsi"/>
        </w:rPr>
        <w:t>ch</w:t>
      </w:r>
      <w:r w:rsidRPr="00484AE0">
        <w:rPr>
          <w:rFonts w:cstheme="minorHAnsi"/>
        </w:rPr>
        <w:t xml:space="preserve"> stężeń azotanów. </w:t>
      </w:r>
      <w:r w:rsidRPr="00484AE0">
        <w:rPr>
          <w:rFonts w:cs="ArialNarrow"/>
        </w:rPr>
        <w:t>Zestawienie punktów pomiarowych uwzględnionych w analizie oraz wyniki zmian stężeń azotanów w wodach powierzchniowych przedstawiono w Załączniku 1. P</w:t>
      </w:r>
      <w:r w:rsidRPr="00484AE0">
        <w:rPr>
          <w:rFonts w:cstheme="minorHAnsi"/>
        </w:rPr>
        <w:t xml:space="preserve">rognozowane wartości średnich stężeń azotanów w 2023 r. przedstawiono na Rysunku 3. Podsumowanie analizy trendów stężeń azotanów w latach 2012-2020 przedstawiono w poniższej tabeli. </w:t>
      </w:r>
    </w:p>
    <w:p w14:paraId="2436BC58" w14:textId="77777777" w:rsidR="0046020E" w:rsidRPr="00397E41" w:rsidRDefault="0046020E" w:rsidP="00397E41">
      <w:pPr>
        <w:pStyle w:val="Legenda"/>
        <w:spacing w:before="120" w:after="0" w:line="259" w:lineRule="auto"/>
        <w:jc w:val="both"/>
        <w:rPr>
          <w:i w:val="0"/>
          <w:iCs w:val="0"/>
          <w:color w:val="2F5496" w:themeColor="accent1" w:themeShade="BF"/>
          <w:sz w:val="20"/>
          <w:szCs w:val="20"/>
        </w:rPr>
      </w:pPr>
      <w:r w:rsidRPr="00397E41">
        <w:rPr>
          <w:i w:val="0"/>
          <w:iCs w:val="0"/>
          <w:color w:val="2F5496" w:themeColor="accent1" w:themeShade="BF"/>
          <w:sz w:val="20"/>
          <w:szCs w:val="20"/>
        </w:rPr>
        <w:t xml:space="preserve">Tabela </w:t>
      </w:r>
      <w:r w:rsidRPr="00397E41">
        <w:rPr>
          <w:i w:val="0"/>
          <w:iCs w:val="0"/>
          <w:color w:val="2F5496" w:themeColor="accent1" w:themeShade="BF"/>
          <w:sz w:val="20"/>
          <w:szCs w:val="20"/>
        </w:rPr>
        <w:fldChar w:fldCharType="begin"/>
      </w:r>
      <w:r w:rsidRPr="00397E41">
        <w:rPr>
          <w:i w:val="0"/>
          <w:iCs w:val="0"/>
          <w:color w:val="2F5496" w:themeColor="accent1" w:themeShade="BF"/>
          <w:sz w:val="20"/>
          <w:szCs w:val="20"/>
        </w:rPr>
        <w:instrText xml:space="preserve"> SEQ Tabela \* ARABIC </w:instrText>
      </w:r>
      <w:r w:rsidRPr="00397E41">
        <w:rPr>
          <w:i w:val="0"/>
          <w:iCs w:val="0"/>
          <w:color w:val="2F5496" w:themeColor="accent1" w:themeShade="BF"/>
          <w:sz w:val="20"/>
          <w:szCs w:val="20"/>
        </w:rPr>
        <w:fldChar w:fldCharType="separate"/>
      </w:r>
      <w:r w:rsidRPr="00397E41">
        <w:rPr>
          <w:i w:val="0"/>
          <w:iCs w:val="0"/>
          <w:color w:val="2F5496" w:themeColor="accent1" w:themeShade="BF"/>
          <w:sz w:val="20"/>
          <w:szCs w:val="20"/>
        </w:rPr>
        <w:t>8</w:t>
      </w:r>
      <w:r w:rsidRPr="00397E41">
        <w:rPr>
          <w:i w:val="0"/>
          <w:iCs w:val="0"/>
          <w:color w:val="2F5496" w:themeColor="accent1" w:themeShade="BF"/>
          <w:sz w:val="20"/>
          <w:szCs w:val="20"/>
        </w:rPr>
        <w:fldChar w:fldCharType="end"/>
      </w:r>
      <w:r w:rsidRPr="00397E41">
        <w:rPr>
          <w:i w:val="0"/>
          <w:iCs w:val="0"/>
          <w:color w:val="2F5496" w:themeColor="accent1" w:themeShade="BF"/>
          <w:sz w:val="20"/>
          <w:szCs w:val="20"/>
        </w:rPr>
        <w:t>. Podsumowanie wyników analizy trendów zmian stężeń azotanów w punktach pomiarowych w latach 2012-2020</w:t>
      </w:r>
    </w:p>
    <w:tbl>
      <w:tblPr>
        <w:tblStyle w:val="Tabela-Siatka"/>
        <w:tblW w:w="9067" w:type="dxa"/>
        <w:tblLayout w:type="fixed"/>
        <w:tblLook w:val="01E0" w:firstRow="1" w:lastRow="1" w:firstColumn="1" w:lastColumn="1" w:noHBand="0" w:noVBand="0"/>
      </w:tblPr>
      <w:tblGrid>
        <w:gridCol w:w="2405"/>
        <w:gridCol w:w="1843"/>
        <w:gridCol w:w="1417"/>
        <w:gridCol w:w="1560"/>
        <w:gridCol w:w="1842"/>
      </w:tblGrid>
      <w:tr w:rsidR="0046020E" w:rsidRPr="00484AE0" w14:paraId="13F9DB73" w14:textId="77777777" w:rsidTr="00160BD4">
        <w:trPr>
          <w:trHeight w:val="763"/>
        </w:trPr>
        <w:tc>
          <w:tcPr>
            <w:tcW w:w="2405" w:type="dxa"/>
            <w:vMerge w:val="restart"/>
            <w:shd w:val="clear" w:color="auto" w:fill="2F5496" w:themeFill="accent1" w:themeFillShade="BF"/>
            <w:vAlign w:val="center"/>
          </w:tcPr>
          <w:p w14:paraId="62E43224" w14:textId="77777777" w:rsidR="0046020E" w:rsidRPr="00484AE0" w:rsidRDefault="0046020E" w:rsidP="002A04BE">
            <w:pPr>
              <w:pStyle w:val="t1"/>
              <w:spacing w:line="259" w:lineRule="auto"/>
              <w:jc w:val="center"/>
              <w:rPr>
                <w:rFonts w:asciiTheme="minorHAnsi" w:hAnsiTheme="minorHAnsi"/>
                <w:color w:val="FFFFFF" w:themeColor="background1"/>
                <w:sz w:val="22"/>
                <w:szCs w:val="22"/>
                <w:lang w:val="pl-PL"/>
              </w:rPr>
            </w:pPr>
            <w:r w:rsidRPr="00484AE0">
              <w:rPr>
                <w:rFonts w:asciiTheme="minorHAnsi" w:hAnsiTheme="minorHAnsi"/>
                <w:color w:val="FFFFFF" w:themeColor="background1"/>
                <w:sz w:val="22"/>
                <w:szCs w:val="22"/>
                <w:lang w:val="pl-PL"/>
              </w:rPr>
              <w:t>Kategoria JCWP</w:t>
            </w:r>
          </w:p>
        </w:tc>
        <w:tc>
          <w:tcPr>
            <w:tcW w:w="6662" w:type="dxa"/>
            <w:gridSpan w:val="4"/>
            <w:shd w:val="clear" w:color="auto" w:fill="2F5496" w:themeFill="accent1" w:themeFillShade="BF"/>
            <w:vAlign w:val="center"/>
          </w:tcPr>
          <w:p w14:paraId="6764756E" w14:textId="77777777" w:rsidR="0046020E" w:rsidRPr="00484AE0" w:rsidRDefault="0046020E" w:rsidP="002A04BE">
            <w:pPr>
              <w:spacing w:line="259" w:lineRule="auto"/>
              <w:jc w:val="center"/>
              <w:rPr>
                <w:color w:val="FFFFFF" w:themeColor="background1"/>
              </w:rPr>
            </w:pPr>
            <w:r w:rsidRPr="00484AE0">
              <w:rPr>
                <w:color w:val="FFFFFF" w:themeColor="background1"/>
              </w:rPr>
              <w:t xml:space="preserve">% punktów, dla których wyznaczono trendy zmian stężeń azotanów wraz z prognozą wystąpienia przekroczenia </w:t>
            </w:r>
            <w:r w:rsidRPr="00484AE0">
              <w:rPr>
                <w:rFonts w:cstheme="minorHAnsi"/>
                <w:color w:val="FFFFFF" w:themeColor="background1"/>
              </w:rPr>
              <w:t>25 mg NO</w:t>
            </w:r>
            <w:r w:rsidRPr="00484AE0">
              <w:rPr>
                <w:rFonts w:cstheme="minorHAnsi"/>
                <w:color w:val="FFFFFF" w:themeColor="background1"/>
                <w:vertAlign w:val="subscript"/>
              </w:rPr>
              <w:t>3</w:t>
            </w:r>
            <w:r w:rsidRPr="00484AE0">
              <w:rPr>
                <w:rFonts w:cstheme="minorHAnsi"/>
                <w:color w:val="FFFFFF" w:themeColor="background1"/>
              </w:rPr>
              <w:t>/l w 2023 r.*</w:t>
            </w:r>
          </w:p>
        </w:tc>
      </w:tr>
      <w:tr w:rsidR="0046020E" w:rsidRPr="00484AE0" w14:paraId="01339518" w14:textId="77777777" w:rsidTr="00160BD4">
        <w:trPr>
          <w:trHeight w:val="479"/>
        </w:trPr>
        <w:tc>
          <w:tcPr>
            <w:tcW w:w="2405" w:type="dxa"/>
            <w:vMerge/>
            <w:shd w:val="clear" w:color="auto" w:fill="2F5496" w:themeFill="accent1" w:themeFillShade="BF"/>
            <w:vAlign w:val="center"/>
            <w:hideMark/>
          </w:tcPr>
          <w:p w14:paraId="73648020" w14:textId="77777777" w:rsidR="0046020E" w:rsidRPr="00484AE0" w:rsidRDefault="0046020E" w:rsidP="002A04BE">
            <w:pPr>
              <w:spacing w:line="259" w:lineRule="auto"/>
              <w:jc w:val="center"/>
              <w:rPr>
                <w:rFonts w:eastAsia="Times New Roman" w:cs="Times New Roman"/>
                <w:color w:val="FFFFFF" w:themeColor="background1"/>
              </w:rPr>
            </w:pPr>
          </w:p>
        </w:tc>
        <w:tc>
          <w:tcPr>
            <w:tcW w:w="1843" w:type="dxa"/>
            <w:shd w:val="clear" w:color="auto" w:fill="2F5496" w:themeFill="accent1" w:themeFillShade="BF"/>
            <w:vAlign w:val="center"/>
            <w:hideMark/>
          </w:tcPr>
          <w:p w14:paraId="7194320D" w14:textId="77777777" w:rsidR="0046020E" w:rsidRPr="00484AE0" w:rsidRDefault="0046020E" w:rsidP="002A04BE">
            <w:pPr>
              <w:spacing w:line="259" w:lineRule="auto"/>
              <w:jc w:val="center"/>
              <w:rPr>
                <w:color w:val="FFFFFF" w:themeColor="background1"/>
              </w:rPr>
            </w:pPr>
            <w:r w:rsidRPr="00484AE0">
              <w:rPr>
                <w:color w:val="FFFFFF" w:themeColor="background1"/>
              </w:rPr>
              <w:t>Trend</w:t>
            </w:r>
          </w:p>
          <w:p w14:paraId="5D510240" w14:textId="77777777" w:rsidR="0046020E" w:rsidRPr="00484AE0" w:rsidRDefault="0046020E" w:rsidP="002A04BE">
            <w:pPr>
              <w:spacing w:line="259" w:lineRule="auto"/>
              <w:jc w:val="center"/>
              <w:rPr>
                <w:color w:val="FFFFFF" w:themeColor="background1"/>
              </w:rPr>
            </w:pPr>
            <w:r w:rsidRPr="00484AE0">
              <w:rPr>
                <w:color w:val="FFFFFF" w:themeColor="background1"/>
              </w:rPr>
              <w:t>rosnący</w:t>
            </w:r>
          </w:p>
        </w:tc>
        <w:tc>
          <w:tcPr>
            <w:tcW w:w="1417" w:type="dxa"/>
            <w:shd w:val="clear" w:color="auto" w:fill="2F5496" w:themeFill="accent1" w:themeFillShade="BF"/>
            <w:vAlign w:val="center"/>
          </w:tcPr>
          <w:p w14:paraId="07D02FE3" w14:textId="77777777" w:rsidR="0046020E" w:rsidRPr="00484AE0" w:rsidRDefault="0046020E" w:rsidP="002A04BE">
            <w:pPr>
              <w:spacing w:line="259" w:lineRule="auto"/>
              <w:jc w:val="center"/>
              <w:rPr>
                <w:color w:val="FFFFFF" w:themeColor="background1"/>
              </w:rPr>
            </w:pPr>
            <w:r w:rsidRPr="00484AE0">
              <w:rPr>
                <w:color w:val="FFFFFF" w:themeColor="background1"/>
              </w:rPr>
              <w:t>Trend stały</w:t>
            </w:r>
          </w:p>
        </w:tc>
        <w:tc>
          <w:tcPr>
            <w:tcW w:w="1560" w:type="dxa"/>
            <w:shd w:val="clear" w:color="auto" w:fill="2F5496" w:themeFill="accent1" w:themeFillShade="BF"/>
            <w:vAlign w:val="center"/>
            <w:hideMark/>
          </w:tcPr>
          <w:p w14:paraId="58C9DAC0" w14:textId="77777777" w:rsidR="0046020E" w:rsidRPr="00484AE0" w:rsidRDefault="0046020E" w:rsidP="002A04BE">
            <w:pPr>
              <w:spacing w:line="259" w:lineRule="auto"/>
              <w:jc w:val="center"/>
              <w:rPr>
                <w:color w:val="FFFFFF" w:themeColor="background1"/>
              </w:rPr>
            </w:pPr>
            <w:r w:rsidRPr="00484AE0">
              <w:rPr>
                <w:color w:val="FFFFFF" w:themeColor="background1"/>
              </w:rPr>
              <w:t>Trend malejący</w:t>
            </w:r>
          </w:p>
        </w:tc>
        <w:tc>
          <w:tcPr>
            <w:tcW w:w="1842" w:type="dxa"/>
            <w:shd w:val="clear" w:color="auto" w:fill="2F5496" w:themeFill="accent1" w:themeFillShade="BF"/>
            <w:vAlign w:val="center"/>
          </w:tcPr>
          <w:p w14:paraId="52D9D5EF" w14:textId="77777777" w:rsidR="0046020E" w:rsidRPr="00484AE0" w:rsidRDefault="0046020E" w:rsidP="002A04BE">
            <w:pPr>
              <w:spacing w:line="259" w:lineRule="auto"/>
              <w:jc w:val="center"/>
              <w:rPr>
                <w:color w:val="FFFFFF" w:themeColor="background1"/>
              </w:rPr>
            </w:pPr>
            <w:r w:rsidRPr="00484AE0">
              <w:rPr>
                <w:color w:val="FFFFFF" w:themeColor="background1"/>
              </w:rPr>
              <w:t xml:space="preserve">Prognoza przekroczenia </w:t>
            </w:r>
          </w:p>
          <w:p w14:paraId="09F11808" w14:textId="77777777" w:rsidR="0046020E" w:rsidRPr="00484AE0" w:rsidRDefault="0046020E" w:rsidP="002A04BE">
            <w:pPr>
              <w:spacing w:line="259" w:lineRule="auto"/>
              <w:jc w:val="center"/>
              <w:rPr>
                <w:color w:val="FFFFFF" w:themeColor="background1"/>
              </w:rPr>
            </w:pPr>
            <w:r w:rsidRPr="00484AE0">
              <w:rPr>
                <w:rFonts w:cstheme="minorHAnsi"/>
                <w:color w:val="FFFFFF" w:themeColor="background1"/>
              </w:rPr>
              <w:t>25 mg NO</w:t>
            </w:r>
            <w:r w:rsidRPr="00484AE0">
              <w:rPr>
                <w:rFonts w:cstheme="minorHAnsi"/>
                <w:color w:val="FFFFFF" w:themeColor="background1"/>
                <w:vertAlign w:val="subscript"/>
              </w:rPr>
              <w:t>3</w:t>
            </w:r>
            <w:r w:rsidRPr="00484AE0">
              <w:rPr>
                <w:rFonts w:cstheme="minorHAnsi"/>
                <w:color w:val="FFFFFF" w:themeColor="background1"/>
              </w:rPr>
              <w:t>/l</w:t>
            </w:r>
          </w:p>
        </w:tc>
      </w:tr>
      <w:tr w:rsidR="0046020E" w:rsidRPr="00484AE0" w14:paraId="37AD93B9" w14:textId="77777777" w:rsidTr="00160BD4">
        <w:trPr>
          <w:trHeight w:val="238"/>
        </w:trPr>
        <w:tc>
          <w:tcPr>
            <w:tcW w:w="2405" w:type="dxa"/>
          </w:tcPr>
          <w:p w14:paraId="32EB7750" w14:textId="77777777" w:rsidR="0046020E" w:rsidRPr="00484AE0" w:rsidRDefault="0046020E" w:rsidP="002A04BE">
            <w:pPr>
              <w:spacing w:line="259" w:lineRule="auto"/>
            </w:pPr>
            <w:r w:rsidRPr="00484AE0">
              <w:t xml:space="preserve">JCWP rzeczne </w:t>
            </w:r>
          </w:p>
        </w:tc>
        <w:tc>
          <w:tcPr>
            <w:tcW w:w="1843" w:type="dxa"/>
          </w:tcPr>
          <w:p w14:paraId="0E4CF762" w14:textId="77777777" w:rsidR="0046020E" w:rsidRPr="00484AE0" w:rsidRDefault="0046020E" w:rsidP="002A04BE">
            <w:pPr>
              <w:spacing w:line="259" w:lineRule="auto"/>
              <w:jc w:val="center"/>
              <w:rPr>
                <w:rFonts w:cstheme="minorHAnsi"/>
              </w:rPr>
            </w:pPr>
            <w:r w:rsidRPr="00484AE0">
              <w:t>53,39</w:t>
            </w:r>
          </w:p>
        </w:tc>
        <w:tc>
          <w:tcPr>
            <w:tcW w:w="1417" w:type="dxa"/>
          </w:tcPr>
          <w:p w14:paraId="39BB15E0" w14:textId="77777777" w:rsidR="0046020E" w:rsidRPr="00484AE0" w:rsidRDefault="0046020E" w:rsidP="002A04BE">
            <w:pPr>
              <w:spacing w:line="259" w:lineRule="auto"/>
              <w:jc w:val="center"/>
              <w:rPr>
                <w:rFonts w:cstheme="minorHAnsi"/>
              </w:rPr>
            </w:pPr>
            <w:r w:rsidRPr="00484AE0">
              <w:t>0,00</w:t>
            </w:r>
          </w:p>
        </w:tc>
        <w:tc>
          <w:tcPr>
            <w:tcW w:w="1560" w:type="dxa"/>
          </w:tcPr>
          <w:p w14:paraId="5942F519" w14:textId="77777777" w:rsidR="0046020E" w:rsidRPr="00484AE0" w:rsidRDefault="0046020E" w:rsidP="002A04BE">
            <w:pPr>
              <w:spacing w:line="259" w:lineRule="auto"/>
              <w:jc w:val="center"/>
              <w:rPr>
                <w:rFonts w:cstheme="minorHAnsi"/>
              </w:rPr>
            </w:pPr>
            <w:r w:rsidRPr="00484AE0">
              <w:t>46,61</w:t>
            </w:r>
          </w:p>
        </w:tc>
        <w:tc>
          <w:tcPr>
            <w:tcW w:w="1842" w:type="dxa"/>
          </w:tcPr>
          <w:p w14:paraId="78C1A395" w14:textId="77777777" w:rsidR="0046020E" w:rsidRPr="00484AE0" w:rsidRDefault="0046020E" w:rsidP="002A04BE">
            <w:pPr>
              <w:spacing w:line="259" w:lineRule="auto"/>
              <w:jc w:val="center"/>
              <w:rPr>
                <w:rFonts w:ascii="Calibri" w:hAnsi="Calibri"/>
                <w:color w:val="000000"/>
              </w:rPr>
            </w:pPr>
            <w:r w:rsidRPr="00484AE0">
              <w:rPr>
                <w:rFonts w:ascii="Calibri" w:hAnsi="Calibri"/>
                <w:color w:val="000000"/>
              </w:rPr>
              <w:t>3,5</w:t>
            </w:r>
          </w:p>
        </w:tc>
      </w:tr>
      <w:tr w:rsidR="0046020E" w:rsidRPr="00484AE0" w14:paraId="5D9E07C0" w14:textId="77777777" w:rsidTr="00160BD4">
        <w:trPr>
          <w:trHeight w:val="238"/>
        </w:trPr>
        <w:tc>
          <w:tcPr>
            <w:tcW w:w="2405" w:type="dxa"/>
          </w:tcPr>
          <w:p w14:paraId="1908FF25" w14:textId="77777777" w:rsidR="0046020E" w:rsidRPr="00484AE0" w:rsidRDefault="0046020E" w:rsidP="002A04BE">
            <w:pPr>
              <w:spacing w:line="259" w:lineRule="auto"/>
            </w:pPr>
            <w:r w:rsidRPr="00484AE0">
              <w:t xml:space="preserve">JCWP jeziorne </w:t>
            </w:r>
          </w:p>
        </w:tc>
        <w:tc>
          <w:tcPr>
            <w:tcW w:w="1843" w:type="dxa"/>
          </w:tcPr>
          <w:p w14:paraId="0930E73E" w14:textId="77777777" w:rsidR="0046020E" w:rsidRPr="00484AE0" w:rsidRDefault="0046020E" w:rsidP="002A04BE">
            <w:pPr>
              <w:spacing w:line="259" w:lineRule="auto"/>
              <w:jc w:val="center"/>
              <w:rPr>
                <w:rFonts w:cstheme="minorHAnsi"/>
              </w:rPr>
            </w:pPr>
            <w:r w:rsidRPr="00484AE0">
              <w:t>52,27</w:t>
            </w:r>
          </w:p>
        </w:tc>
        <w:tc>
          <w:tcPr>
            <w:tcW w:w="1417" w:type="dxa"/>
          </w:tcPr>
          <w:p w14:paraId="3423DCDD" w14:textId="77777777" w:rsidR="0046020E" w:rsidRPr="00484AE0" w:rsidRDefault="0046020E" w:rsidP="002A04BE">
            <w:pPr>
              <w:spacing w:line="259" w:lineRule="auto"/>
              <w:jc w:val="center"/>
              <w:rPr>
                <w:rFonts w:cstheme="minorHAnsi"/>
              </w:rPr>
            </w:pPr>
            <w:r w:rsidRPr="00484AE0">
              <w:t>4,55</w:t>
            </w:r>
          </w:p>
        </w:tc>
        <w:tc>
          <w:tcPr>
            <w:tcW w:w="1560" w:type="dxa"/>
          </w:tcPr>
          <w:p w14:paraId="5EDCCB9F" w14:textId="77777777" w:rsidR="0046020E" w:rsidRPr="00484AE0" w:rsidRDefault="0046020E" w:rsidP="002A04BE">
            <w:pPr>
              <w:spacing w:line="259" w:lineRule="auto"/>
              <w:jc w:val="center"/>
              <w:rPr>
                <w:rFonts w:cstheme="minorHAnsi"/>
              </w:rPr>
            </w:pPr>
            <w:r w:rsidRPr="00484AE0">
              <w:t>43,18</w:t>
            </w:r>
          </w:p>
        </w:tc>
        <w:tc>
          <w:tcPr>
            <w:tcW w:w="1842" w:type="dxa"/>
          </w:tcPr>
          <w:p w14:paraId="577C7B96" w14:textId="77777777" w:rsidR="0046020E" w:rsidRPr="00484AE0" w:rsidRDefault="0046020E" w:rsidP="002A04BE">
            <w:pPr>
              <w:spacing w:line="259" w:lineRule="auto"/>
              <w:jc w:val="center"/>
              <w:rPr>
                <w:rFonts w:ascii="Calibri" w:hAnsi="Calibri"/>
                <w:color w:val="000000"/>
              </w:rPr>
            </w:pPr>
            <w:r w:rsidRPr="00484AE0">
              <w:rPr>
                <w:rFonts w:ascii="Calibri" w:hAnsi="Calibri"/>
                <w:color w:val="000000"/>
              </w:rPr>
              <w:t>0,00</w:t>
            </w:r>
          </w:p>
        </w:tc>
      </w:tr>
      <w:tr w:rsidR="0046020E" w:rsidRPr="00484AE0" w14:paraId="07E7B4AA" w14:textId="77777777" w:rsidTr="00160BD4">
        <w:trPr>
          <w:trHeight w:val="238"/>
        </w:trPr>
        <w:tc>
          <w:tcPr>
            <w:tcW w:w="2405" w:type="dxa"/>
          </w:tcPr>
          <w:p w14:paraId="129C3DEC" w14:textId="77777777" w:rsidR="0046020E" w:rsidRPr="00484AE0" w:rsidRDefault="0046020E" w:rsidP="002A04BE">
            <w:pPr>
              <w:spacing w:line="259" w:lineRule="auto"/>
            </w:pPr>
            <w:r w:rsidRPr="00484AE0">
              <w:t xml:space="preserve">JCWP przejściowe </w:t>
            </w:r>
          </w:p>
        </w:tc>
        <w:tc>
          <w:tcPr>
            <w:tcW w:w="1843" w:type="dxa"/>
          </w:tcPr>
          <w:p w14:paraId="0F00532A" w14:textId="77777777" w:rsidR="0046020E" w:rsidRPr="00484AE0" w:rsidRDefault="0046020E" w:rsidP="002A04BE">
            <w:pPr>
              <w:spacing w:line="259" w:lineRule="auto"/>
              <w:jc w:val="center"/>
              <w:rPr>
                <w:rFonts w:cstheme="minorHAnsi"/>
              </w:rPr>
            </w:pPr>
            <w:r w:rsidRPr="00484AE0">
              <w:t>88,89</w:t>
            </w:r>
          </w:p>
        </w:tc>
        <w:tc>
          <w:tcPr>
            <w:tcW w:w="1417" w:type="dxa"/>
          </w:tcPr>
          <w:p w14:paraId="1A83303A" w14:textId="77777777" w:rsidR="0046020E" w:rsidRPr="00484AE0" w:rsidRDefault="0046020E" w:rsidP="002A04BE">
            <w:pPr>
              <w:spacing w:line="259" w:lineRule="auto"/>
              <w:jc w:val="center"/>
              <w:rPr>
                <w:rFonts w:cstheme="minorHAnsi"/>
              </w:rPr>
            </w:pPr>
            <w:r w:rsidRPr="00484AE0">
              <w:t>0,00</w:t>
            </w:r>
          </w:p>
        </w:tc>
        <w:tc>
          <w:tcPr>
            <w:tcW w:w="1560" w:type="dxa"/>
          </w:tcPr>
          <w:p w14:paraId="35DDDCDD" w14:textId="77777777" w:rsidR="0046020E" w:rsidRPr="00484AE0" w:rsidRDefault="0046020E" w:rsidP="002A04BE">
            <w:pPr>
              <w:spacing w:line="259" w:lineRule="auto"/>
              <w:jc w:val="center"/>
              <w:rPr>
                <w:rFonts w:cstheme="minorHAnsi"/>
              </w:rPr>
            </w:pPr>
            <w:r w:rsidRPr="00484AE0">
              <w:t>11,11</w:t>
            </w:r>
          </w:p>
        </w:tc>
        <w:tc>
          <w:tcPr>
            <w:tcW w:w="1842" w:type="dxa"/>
          </w:tcPr>
          <w:p w14:paraId="1B6EE22E" w14:textId="77777777" w:rsidR="0046020E" w:rsidRPr="00484AE0" w:rsidRDefault="0046020E" w:rsidP="002A04BE">
            <w:pPr>
              <w:spacing w:line="259" w:lineRule="auto"/>
              <w:jc w:val="center"/>
              <w:rPr>
                <w:rFonts w:ascii="Calibri" w:hAnsi="Calibri"/>
                <w:color w:val="000000"/>
              </w:rPr>
            </w:pPr>
            <w:r w:rsidRPr="00484AE0">
              <w:rPr>
                <w:rFonts w:ascii="Calibri" w:hAnsi="Calibri"/>
                <w:color w:val="000000"/>
              </w:rPr>
              <w:t>0,00</w:t>
            </w:r>
          </w:p>
        </w:tc>
      </w:tr>
      <w:tr w:rsidR="0046020E" w:rsidRPr="00484AE0" w14:paraId="62D73407" w14:textId="77777777" w:rsidTr="00160BD4">
        <w:trPr>
          <w:trHeight w:val="238"/>
        </w:trPr>
        <w:tc>
          <w:tcPr>
            <w:tcW w:w="2405" w:type="dxa"/>
          </w:tcPr>
          <w:p w14:paraId="5F0A88D7" w14:textId="77777777" w:rsidR="0046020E" w:rsidRPr="00484AE0" w:rsidRDefault="0046020E" w:rsidP="002A04BE">
            <w:pPr>
              <w:spacing w:line="259" w:lineRule="auto"/>
            </w:pPr>
            <w:r w:rsidRPr="00484AE0">
              <w:t xml:space="preserve">JCWP przybrzeżne </w:t>
            </w:r>
          </w:p>
        </w:tc>
        <w:tc>
          <w:tcPr>
            <w:tcW w:w="1843" w:type="dxa"/>
          </w:tcPr>
          <w:p w14:paraId="32308AF4" w14:textId="77777777" w:rsidR="0046020E" w:rsidRPr="00484AE0" w:rsidRDefault="0046020E" w:rsidP="002A04BE">
            <w:pPr>
              <w:spacing w:line="259" w:lineRule="auto"/>
              <w:jc w:val="center"/>
              <w:rPr>
                <w:rFonts w:cstheme="minorHAnsi"/>
              </w:rPr>
            </w:pPr>
            <w:r w:rsidRPr="00484AE0">
              <w:t>80,00</w:t>
            </w:r>
          </w:p>
        </w:tc>
        <w:tc>
          <w:tcPr>
            <w:tcW w:w="1417" w:type="dxa"/>
          </w:tcPr>
          <w:p w14:paraId="0B4F8D3C" w14:textId="77777777" w:rsidR="0046020E" w:rsidRPr="00484AE0" w:rsidRDefault="0046020E" w:rsidP="002A04BE">
            <w:pPr>
              <w:spacing w:line="259" w:lineRule="auto"/>
              <w:jc w:val="center"/>
              <w:rPr>
                <w:rFonts w:cstheme="minorHAnsi"/>
              </w:rPr>
            </w:pPr>
            <w:r w:rsidRPr="00484AE0">
              <w:t>0,00</w:t>
            </w:r>
          </w:p>
        </w:tc>
        <w:tc>
          <w:tcPr>
            <w:tcW w:w="1560" w:type="dxa"/>
          </w:tcPr>
          <w:p w14:paraId="05E9DB11" w14:textId="77777777" w:rsidR="0046020E" w:rsidRPr="00484AE0" w:rsidRDefault="0046020E" w:rsidP="002A04BE">
            <w:pPr>
              <w:spacing w:line="259" w:lineRule="auto"/>
              <w:jc w:val="center"/>
              <w:rPr>
                <w:rFonts w:cstheme="minorHAnsi"/>
              </w:rPr>
            </w:pPr>
            <w:r w:rsidRPr="00484AE0">
              <w:t>20,00</w:t>
            </w:r>
          </w:p>
        </w:tc>
        <w:tc>
          <w:tcPr>
            <w:tcW w:w="1842" w:type="dxa"/>
          </w:tcPr>
          <w:p w14:paraId="7785CB5A" w14:textId="77777777" w:rsidR="0046020E" w:rsidRPr="00484AE0" w:rsidRDefault="0046020E" w:rsidP="002A04BE">
            <w:pPr>
              <w:spacing w:line="259" w:lineRule="auto"/>
              <w:jc w:val="center"/>
              <w:rPr>
                <w:rFonts w:ascii="Calibri" w:hAnsi="Calibri"/>
                <w:color w:val="000000"/>
              </w:rPr>
            </w:pPr>
            <w:r w:rsidRPr="00484AE0">
              <w:rPr>
                <w:rFonts w:ascii="Calibri" w:hAnsi="Calibri"/>
                <w:color w:val="000000"/>
              </w:rPr>
              <w:t>0,00</w:t>
            </w:r>
          </w:p>
        </w:tc>
      </w:tr>
    </w:tbl>
    <w:p w14:paraId="74F3E5F4" w14:textId="77777777" w:rsidR="0046020E" w:rsidRPr="00484AE0" w:rsidRDefault="0046020E" w:rsidP="00397E41">
      <w:pPr>
        <w:rPr>
          <w:sz w:val="20"/>
          <w:szCs w:val="20"/>
        </w:rPr>
      </w:pPr>
      <w:r w:rsidRPr="00484AE0">
        <w:rPr>
          <w:sz w:val="20"/>
          <w:szCs w:val="20"/>
        </w:rPr>
        <w:sym w:font="Symbol" w:char="F02A"/>
      </w:r>
      <w:r w:rsidRPr="00484AE0">
        <w:rPr>
          <w:sz w:val="20"/>
          <w:szCs w:val="20"/>
        </w:rPr>
        <w:t xml:space="preserve"> wartości procentowe przeliczone w odniesieniu do liczby punktów objętych analizą trendów</w:t>
      </w:r>
    </w:p>
    <w:p w14:paraId="13FF05BC" w14:textId="1018CFBE" w:rsidR="0046020E" w:rsidRPr="00484AE0" w:rsidRDefault="0046020E" w:rsidP="002A04BE">
      <w:pPr>
        <w:autoSpaceDE w:val="0"/>
        <w:autoSpaceDN w:val="0"/>
        <w:adjustRightInd w:val="0"/>
        <w:spacing w:after="0"/>
        <w:jc w:val="both"/>
        <w:rPr>
          <w:rFonts w:cstheme="minorHAnsi"/>
        </w:rPr>
      </w:pPr>
      <w:r w:rsidRPr="00484AE0">
        <w:rPr>
          <w:rFonts w:cstheme="minorHAnsi"/>
        </w:rPr>
        <w:t>Analiza trendów stężeń azotanów, zgodnie z przedstawioną wyżej metodyką, mogła zostać wykonana w odniesieniu do 712 punktów</w:t>
      </w:r>
      <w:r w:rsidR="00143345">
        <w:rPr>
          <w:rFonts w:cstheme="minorHAnsi"/>
        </w:rPr>
        <w:t xml:space="preserve"> pomiarowo-kontrolnych</w:t>
      </w:r>
      <w:r w:rsidRPr="00484AE0">
        <w:rPr>
          <w:rFonts w:cstheme="minorHAnsi"/>
        </w:rPr>
        <w:t xml:space="preserve">, które spełniały kryteria odpowiedniej ilości pomiarów w szeregu czasowym 2012-2020. Dla kategorii JCWP rzecznych, największy odsetek punktów pomiarowych (53,39%), wykazywał rosnący trend stężeń azotanów, w pozostałych </w:t>
      </w:r>
      <w:proofErr w:type="spellStart"/>
      <w:r w:rsidRPr="00484AE0">
        <w:rPr>
          <w:rFonts w:cstheme="minorHAnsi"/>
        </w:rPr>
        <w:t>ppk</w:t>
      </w:r>
      <w:proofErr w:type="spellEnd"/>
      <w:r w:rsidRPr="00484AE0">
        <w:rPr>
          <w:rFonts w:cstheme="minorHAnsi"/>
        </w:rPr>
        <w:t xml:space="preserve"> odnotowano trend malejący. Pomimo trendu rosnącego, możliwe przekroczenie stężenia azotanów powyżej 25 mg NO</w:t>
      </w:r>
      <w:r w:rsidRPr="00484AE0">
        <w:rPr>
          <w:rFonts w:cstheme="minorHAnsi"/>
          <w:vertAlign w:val="subscript"/>
        </w:rPr>
        <w:t>3</w:t>
      </w:r>
      <w:r w:rsidRPr="00484AE0">
        <w:rPr>
          <w:rFonts w:cstheme="minorHAnsi"/>
        </w:rPr>
        <w:t xml:space="preserve">/l w 2023 r. prognozuje się jedynie dla 3,5% </w:t>
      </w:r>
      <w:proofErr w:type="spellStart"/>
      <w:r w:rsidRPr="00484AE0">
        <w:rPr>
          <w:rFonts w:cstheme="minorHAnsi"/>
        </w:rPr>
        <w:t>ppk</w:t>
      </w:r>
      <w:proofErr w:type="spellEnd"/>
      <w:r w:rsidRPr="00484AE0">
        <w:rPr>
          <w:rFonts w:cstheme="minorHAnsi"/>
        </w:rPr>
        <w:t xml:space="preserve"> monitoringu rzek. </w:t>
      </w:r>
    </w:p>
    <w:p w14:paraId="398BC9E0" w14:textId="15814364" w:rsidR="0046020E" w:rsidRPr="00484AE0" w:rsidRDefault="0046020E" w:rsidP="002A04BE">
      <w:pPr>
        <w:autoSpaceDE w:val="0"/>
        <w:autoSpaceDN w:val="0"/>
        <w:adjustRightInd w:val="0"/>
        <w:spacing w:after="0"/>
        <w:jc w:val="both"/>
        <w:rPr>
          <w:rFonts w:cstheme="minorHAnsi"/>
        </w:rPr>
      </w:pPr>
      <w:r w:rsidRPr="00484AE0">
        <w:rPr>
          <w:rFonts w:cstheme="minorHAnsi"/>
        </w:rPr>
        <w:t xml:space="preserve">Dla kategorii JCWP jeziornych, największy odsetek punktów pomiarowych (52,27%), wykazywał rosnący trend stężeń azotanów, 4,55% </w:t>
      </w:r>
      <w:proofErr w:type="spellStart"/>
      <w:r w:rsidRPr="00484AE0">
        <w:rPr>
          <w:rFonts w:cstheme="minorHAnsi"/>
        </w:rPr>
        <w:t>ppk</w:t>
      </w:r>
      <w:proofErr w:type="spellEnd"/>
      <w:r w:rsidRPr="00484AE0">
        <w:rPr>
          <w:rFonts w:cstheme="minorHAnsi"/>
        </w:rPr>
        <w:t xml:space="preserve"> wykazywało trend stały, a dla pozostałych </w:t>
      </w:r>
      <w:proofErr w:type="spellStart"/>
      <w:r w:rsidRPr="00484AE0">
        <w:rPr>
          <w:rFonts w:cstheme="minorHAnsi"/>
        </w:rPr>
        <w:t>ppk</w:t>
      </w:r>
      <w:proofErr w:type="spellEnd"/>
      <w:r w:rsidRPr="00484AE0">
        <w:rPr>
          <w:rFonts w:cstheme="minorHAnsi"/>
        </w:rPr>
        <w:t xml:space="preserve"> (46,61%) odnotowano trend malejący. Pomimo</w:t>
      </w:r>
      <w:r w:rsidR="00143345">
        <w:rPr>
          <w:rFonts w:cstheme="minorHAnsi"/>
        </w:rPr>
        <w:t xml:space="preserve"> przeważającego</w:t>
      </w:r>
      <w:r w:rsidRPr="00484AE0">
        <w:rPr>
          <w:rFonts w:cstheme="minorHAnsi"/>
        </w:rPr>
        <w:t xml:space="preserve"> trendu rosnącego, prognoza nie wskazuje na możliwe przekroczenie stężenia azotanów powyżej 25 mg NO</w:t>
      </w:r>
      <w:r w:rsidRPr="00484AE0">
        <w:rPr>
          <w:rFonts w:cstheme="minorHAnsi"/>
          <w:vertAlign w:val="subscript"/>
        </w:rPr>
        <w:t>3</w:t>
      </w:r>
      <w:r w:rsidRPr="00484AE0">
        <w:rPr>
          <w:rFonts w:cstheme="minorHAnsi"/>
        </w:rPr>
        <w:t>/l w 2023 r</w:t>
      </w:r>
      <w:r w:rsidR="00143345">
        <w:rPr>
          <w:rFonts w:cstheme="minorHAnsi"/>
        </w:rPr>
        <w:t>. w tej kategorii wód.</w:t>
      </w:r>
      <w:r w:rsidRPr="00484AE0">
        <w:rPr>
          <w:rFonts w:cstheme="minorHAnsi"/>
        </w:rPr>
        <w:t xml:space="preserve"> </w:t>
      </w:r>
    </w:p>
    <w:p w14:paraId="42CC6247" w14:textId="77777777" w:rsidR="0046020E" w:rsidRDefault="0046020E" w:rsidP="002A04BE">
      <w:pPr>
        <w:autoSpaceDE w:val="0"/>
        <w:autoSpaceDN w:val="0"/>
        <w:adjustRightInd w:val="0"/>
        <w:spacing w:after="0"/>
        <w:jc w:val="both"/>
        <w:rPr>
          <w:rFonts w:cstheme="minorHAnsi"/>
        </w:rPr>
      </w:pPr>
      <w:r w:rsidRPr="00484AE0">
        <w:rPr>
          <w:rFonts w:cstheme="minorHAnsi"/>
        </w:rPr>
        <w:t>Dla kategorii JCWP przejściowych i przybrzeżnych, największy odsetek punktów pomiarowych (&gt;80%), wykazywał rosnący trend stężeń azotanów. Pomimo trendu rosnącego, prognoza nie wskazuje na możliwe przekroczenie stężenia azotanów powyżej 25 mg NO</w:t>
      </w:r>
      <w:r w:rsidRPr="00484AE0">
        <w:rPr>
          <w:rFonts w:cstheme="minorHAnsi"/>
          <w:vertAlign w:val="subscript"/>
        </w:rPr>
        <w:t>3</w:t>
      </w:r>
      <w:r w:rsidRPr="00484AE0">
        <w:rPr>
          <w:rFonts w:cstheme="minorHAnsi"/>
        </w:rPr>
        <w:t>/l w 2023 r.</w:t>
      </w:r>
    </w:p>
    <w:p w14:paraId="35E317B5" w14:textId="77777777" w:rsidR="0046020E" w:rsidRDefault="0046020E" w:rsidP="002A04BE">
      <w:pPr>
        <w:autoSpaceDE w:val="0"/>
        <w:autoSpaceDN w:val="0"/>
        <w:adjustRightInd w:val="0"/>
        <w:spacing w:after="0"/>
        <w:jc w:val="both"/>
        <w:rPr>
          <w:rFonts w:cstheme="minorHAnsi"/>
        </w:rPr>
      </w:pPr>
    </w:p>
    <w:p w14:paraId="64115364" w14:textId="77777777" w:rsidR="0046020E" w:rsidRDefault="0046020E" w:rsidP="002A04BE">
      <w:pPr>
        <w:autoSpaceDE w:val="0"/>
        <w:autoSpaceDN w:val="0"/>
        <w:adjustRightInd w:val="0"/>
        <w:spacing w:after="0"/>
        <w:jc w:val="both"/>
        <w:rPr>
          <w:rFonts w:cstheme="minorHAnsi"/>
        </w:rPr>
        <w:sectPr w:rsidR="0046020E">
          <w:pgSz w:w="11906" w:h="16838"/>
          <w:pgMar w:top="1417" w:right="1417" w:bottom="1417" w:left="1417" w:header="708" w:footer="708" w:gutter="0"/>
          <w:cols w:space="708"/>
          <w:docGrid w:linePitch="360"/>
        </w:sectPr>
      </w:pPr>
      <w:r>
        <w:rPr>
          <w:rFonts w:cstheme="minorHAnsi"/>
        </w:rPr>
        <w:t xml:space="preserve"> </w:t>
      </w:r>
    </w:p>
    <w:p w14:paraId="07B91EF7" w14:textId="77777777" w:rsidR="0046020E" w:rsidRPr="00B149E0" w:rsidRDefault="0046020E" w:rsidP="002A04BE">
      <w:pPr>
        <w:pStyle w:val="Legenda"/>
        <w:spacing w:line="259" w:lineRule="auto"/>
        <w:rPr>
          <w:i w:val="0"/>
          <w:iCs w:val="0"/>
          <w:color w:val="2F5496" w:themeColor="accent1" w:themeShade="BF"/>
          <w:sz w:val="20"/>
          <w:szCs w:val="20"/>
        </w:rPr>
      </w:pPr>
      <w:r w:rsidRPr="00B149E0">
        <w:rPr>
          <w:i w:val="0"/>
          <w:iCs w:val="0"/>
          <w:noProof/>
          <w:color w:val="2F5496" w:themeColor="accent1" w:themeShade="BF"/>
          <w:sz w:val="20"/>
          <w:szCs w:val="20"/>
          <w:lang w:eastAsia="pl-PL"/>
        </w:rPr>
        <w:lastRenderedPageBreak/>
        <w:drawing>
          <wp:anchor distT="0" distB="0" distL="114300" distR="114300" simplePos="0" relativeHeight="251670528" behindDoc="0" locked="0" layoutInCell="1" allowOverlap="1" wp14:anchorId="50288687" wp14:editId="3DBDD41E">
            <wp:simplePos x="0" y="0"/>
            <wp:positionH relativeFrom="margin">
              <wp:align>left</wp:align>
            </wp:positionH>
            <wp:positionV relativeFrom="paragraph">
              <wp:posOffset>213180</wp:posOffset>
            </wp:positionV>
            <wp:extent cx="6084570" cy="7389495"/>
            <wp:effectExtent l="0" t="0" r="0" b="190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4570" cy="738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9E0">
        <w:rPr>
          <w:i w:val="0"/>
          <w:iCs w:val="0"/>
          <w:color w:val="2F5496" w:themeColor="accent1" w:themeShade="BF"/>
          <w:sz w:val="20"/>
          <w:szCs w:val="20"/>
        </w:rPr>
        <w:t xml:space="preserve">Rysunek </w:t>
      </w:r>
      <w:r w:rsidRPr="00B149E0">
        <w:rPr>
          <w:i w:val="0"/>
          <w:iCs w:val="0"/>
          <w:color w:val="2F5496" w:themeColor="accent1" w:themeShade="BF"/>
          <w:sz w:val="20"/>
          <w:szCs w:val="20"/>
        </w:rPr>
        <w:fldChar w:fldCharType="begin"/>
      </w:r>
      <w:r w:rsidRPr="00B149E0">
        <w:rPr>
          <w:i w:val="0"/>
          <w:iCs w:val="0"/>
          <w:color w:val="2F5496" w:themeColor="accent1" w:themeShade="BF"/>
          <w:sz w:val="20"/>
          <w:szCs w:val="20"/>
        </w:rPr>
        <w:instrText xml:space="preserve"> SEQ Rysunek \* ARABIC </w:instrText>
      </w:r>
      <w:r w:rsidRPr="00B149E0">
        <w:rPr>
          <w:i w:val="0"/>
          <w:iCs w:val="0"/>
          <w:color w:val="2F5496" w:themeColor="accent1" w:themeShade="BF"/>
          <w:sz w:val="20"/>
          <w:szCs w:val="20"/>
        </w:rPr>
        <w:fldChar w:fldCharType="separate"/>
      </w:r>
      <w:r w:rsidR="008C3D04">
        <w:rPr>
          <w:i w:val="0"/>
          <w:iCs w:val="0"/>
          <w:noProof/>
          <w:color w:val="2F5496" w:themeColor="accent1" w:themeShade="BF"/>
          <w:sz w:val="20"/>
          <w:szCs w:val="20"/>
        </w:rPr>
        <w:t>3</w:t>
      </w:r>
      <w:r w:rsidRPr="00B149E0">
        <w:rPr>
          <w:i w:val="0"/>
          <w:iCs w:val="0"/>
          <w:color w:val="2F5496" w:themeColor="accent1" w:themeShade="BF"/>
          <w:sz w:val="20"/>
          <w:szCs w:val="20"/>
        </w:rPr>
        <w:fldChar w:fldCharType="end"/>
      </w:r>
      <w:r w:rsidRPr="00B149E0">
        <w:rPr>
          <w:i w:val="0"/>
          <w:iCs w:val="0"/>
          <w:color w:val="2F5496" w:themeColor="accent1" w:themeShade="BF"/>
          <w:sz w:val="20"/>
          <w:szCs w:val="20"/>
        </w:rPr>
        <w:t>. Prognozowane wartości średnich stężeń azotanów w 2023 r.</w:t>
      </w:r>
    </w:p>
    <w:p w14:paraId="227269A1" w14:textId="3F4AB66E" w:rsidR="00ED6754" w:rsidRPr="00ED6754" w:rsidRDefault="00ED6754" w:rsidP="00ED6754">
      <w:pPr>
        <w:spacing w:after="0"/>
        <w:jc w:val="both"/>
        <w:rPr>
          <w:rFonts w:cstheme="minorHAnsi"/>
          <w:sz w:val="20"/>
          <w:szCs w:val="20"/>
        </w:rPr>
        <w:sectPr w:rsidR="00ED6754" w:rsidRPr="00ED6754">
          <w:pgSz w:w="11906" w:h="16838"/>
          <w:pgMar w:top="1417" w:right="1417" w:bottom="1417" w:left="1417" w:header="708" w:footer="708" w:gutter="0"/>
          <w:cols w:space="708"/>
          <w:docGrid w:linePitch="360"/>
        </w:sectPr>
      </w:pPr>
      <w:r w:rsidRPr="00ED6754">
        <w:rPr>
          <w:rFonts w:cstheme="minorHAnsi"/>
          <w:sz w:val="20"/>
          <w:szCs w:val="20"/>
        </w:rPr>
        <w:t>Źródło: opracowano na podstawie</w:t>
      </w:r>
      <w:r>
        <w:rPr>
          <w:rFonts w:cstheme="minorHAnsi"/>
          <w:sz w:val="20"/>
          <w:szCs w:val="20"/>
        </w:rPr>
        <w:t xml:space="preserve"> wyników</w:t>
      </w:r>
      <w:r w:rsidRPr="00ED6754">
        <w:rPr>
          <w:rFonts w:cstheme="minorHAnsi"/>
          <w:sz w:val="20"/>
          <w:szCs w:val="20"/>
        </w:rPr>
        <w:t xml:space="preserve"> </w:t>
      </w:r>
      <w:r>
        <w:rPr>
          <w:rFonts w:cstheme="minorHAnsi"/>
          <w:sz w:val="20"/>
          <w:szCs w:val="20"/>
        </w:rPr>
        <w:t xml:space="preserve">analizy trendów wykonanej w oparciu o dane ze </w:t>
      </w:r>
      <w:r w:rsidRPr="00ED6754">
        <w:rPr>
          <w:rFonts w:cstheme="minorHAnsi"/>
          <w:sz w:val="20"/>
          <w:szCs w:val="20"/>
        </w:rPr>
        <w:t>Sprawozda</w:t>
      </w:r>
      <w:r>
        <w:rPr>
          <w:rFonts w:cstheme="minorHAnsi"/>
          <w:sz w:val="20"/>
          <w:szCs w:val="20"/>
        </w:rPr>
        <w:t>ń</w:t>
      </w:r>
      <w:r w:rsidRPr="00ED6754">
        <w:rPr>
          <w:rFonts w:cstheme="minorHAnsi"/>
          <w:sz w:val="20"/>
          <w:szCs w:val="20"/>
        </w:rPr>
        <w:t xml:space="preserve"> z realizacji dyrektywy 91/676/EWG (azotanowej) w latach 2016-2020 </w:t>
      </w:r>
      <w:r>
        <w:rPr>
          <w:rFonts w:cstheme="minorHAnsi"/>
          <w:sz w:val="20"/>
          <w:szCs w:val="20"/>
        </w:rPr>
        <w:t xml:space="preserve">oraz 2012-2015 i </w:t>
      </w:r>
      <w:r w:rsidRPr="00ED6754">
        <w:rPr>
          <w:rFonts w:cstheme="minorHAnsi"/>
          <w:sz w:val="20"/>
          <w:szCs w:val="20"/>
        </w:rPr>
        <w:t xml:space="preserve">wyników PMŚ z 2020 r.  </w:t>
      </w:r>
    </w:p>
    <w:p w14:paraId="007610E4" w14:textId="77777777" w:rsidR="0046020E" w:rsidRPr="00F25917" w:rsidRDefault="0046020E" w:rsidP="00D4178D">
      <w:pPr>
        <w:pStyle w:val="Akapitzlist"/>
        <w:keepNext/>
        <w:numPr>
          <w:ilvl w:val="2"/>
          <w:numId w:val="21"/>
        </w:numPr>
        <w:ind w:left="1418" w:hanging="567"/>
        <w:jc w:val="both"/>
        <w:rPr>
          <w:rStyle w:val="Wyrnienieintensywne"/>
          <w:rFonts w:asciiTheme="majorHAnsi" w:hAnsiTheme="majorHAnsi"/>
          <w:b w:val="0"/>
          <w:bCs w:val="0"/>
          <w:color w:val="2F5496" w:themeColor="accent1" w:themeShade="BF"/>
        </w:rPr>
      </w:pPr>
      <w:bookmarkStart w:id="16" w:name="_Hlk98520384"/>
      <w:r w:rsidRPr="00F25917">
        <w:rPr>
          <w:rStyle w:val="Wyrnienieintensywne"/>
          <w:rFonts w:asciiTheme="majorHAnsi" w:hAnsiTheme="majorHAnsi"/>
          <w:b w:val="0"/>
          <w:bCs w:val="0"/>
          <w:color w:val="2F5496" w:themeColor="accent1" w:themeShade="BF"/>
        </w:rPr>
        <w:lastRenderedPageBreak/>
        <w:t xml:space="preserve">Analiza ukierunkowana na ustalenie możliwych przyczyn wystąpienia </w:t>
      </w:r>
      <w:bookmarkStart w:id="17" w:name="_Hlk98514655"/>
      <w:r w:rsidRPr="00F25917">
        <w:rPr>
          <w:rStyle w:val="Wyrnienieintensywne"/>
          <w:rFonts w:asciiTheme="majorHAnsi" w:hAnsiTheme="majorHAnsi"/>
          <w:b w:val="0"/>
          <w:bCs w:val="0"/>
          <w:color w:val="2F5496" w:themeColor="accent1" w:themeShade="BF"/>
        </w:rPr>
        <w:t xml:space="preserve">średnich rocznych przekroczeń stężeń azotanów (powyżej 25 mg/l) </w:t>
      </w:r>
      <w:bookmarkEnd w:id="17"/>
      <w:r w:rsidRPr="00F25917">
        <w:rPr>
          <w:rStyle w:val="Wyrnienieintensywne"/>
          <w:rFonts w:asciiTheme="majorHAnsi" w:hAnsiTheme="majorHAnsi"/>
          <w:b w:val="0"/>
          <w:bCs w:val="0"/>
          <w:color w:val="2F5496" w:themeColor="accent1" w:themeShade="BF"/>
        </w:rPr>
        <w:t>w JCWP, w okresie 2016 –2020</w:t>
      </w:r>
    </w:p>
    <w:bookmarkEnd w:id="1"/>
    <w:bookmarkEnd w:id="16"/>
    <w:p w14:paraId="22BA6E52" w14:textId="77777777" w:rsidR="006A5759" w:rsidRPr="002A2EC2" w:rsidRDefault="006A5759" w:rsidP="006A5759">
      <w:pPr>
        <w:spacing w:line="240" w:lineRule="auto"/>
        <w:jc w:val="both"/>
      </w:pPr>
      <w:r w:rsidRPr="002A2EC2">
        <w:rPr>
          <w:rFonts w:cstheme="minorHAnsi"/>
        </w:rPr>
        <w:t xml:space="preserve">Analiza ukierunkowana na ustalenie możliwych przyczyn średnich rocznych przekroczeń stężeń azotanów (powyżej 25 mg/l), została wykonana w odniesieniu do jednolitych części wód powierzchniowych, zgodnie z podziałem według </w:t>
      </w:r>
      <w:proofErr w:type="spellStart"/>
      <w:r w:rsidRPr="002A2EC2">
        <w:rPr>
          <w:rFonts w:cstheme="minorHAnsi"/>
        </w:rPr>
        <w:t>IIaPGW</w:t>
      </w:r>
      <w:proofErr w:type="spellEnd"/>
      <w:r w:rsidRPr="002A2EC2">
        <w:rPr>
          <w:rFonts w:cstheme="minorHAnsi"/>
        </w:rPr>
        <w:t>. W analizach uwzględniono wszystkie punkty pomiarowo-kontrolne, dla których w latach 2016-2020</w:t>
      </w:r>
      <w:r>
        <w:rPr>
          <w:rFonts w:cstheme="minorHAnsi"/>
        </w:rPr>
        <w:t xml:space="preserve"> </w:t>
      </w:r>
      <w:r w:rsidRPr="002A2EC2">
        <w:rPr>
          <w:rFonts w:cstheme="minorHAnsi"/>
        </w:rPr>
        <w:t>przynajmniej raz wystąpiło przekroczenie średnie</w:t>
      </w:r>
      <w:r>
        <w:rPr>
          <w:rFonts w:cstheme="minorHAnsi"/>
        </w:rPr>
        <w:t>go</w:t>
      </w:r>
      <w:r w:rsidRPr="002A2EC2">
        <w:rPr>
          <w:rFonts w:cstheme="minorHAnsi"/>
        </w:rPr>
        <w:t xml:space="preserve"> roczne</w:t>
      </w:r>
      <w:r>
        <w:rPr>
          <w:rFonts w:cstheme="minorHAnsi"/>
        </w:rPr>
        <w:t>go</w:t>
      </w:r>
      <w:r w:rsidRPr="002A2EC2">
        <w:rPr>
          <w:rFonts w:cstheme="minorHAnsi"/>
        </w:rPr>
        <w:t xml:space="preserve"> stężenia azotanów powyżej 25 </w:t>
      </w:r>
      <w:proofErr w:type="spellStart"/>
      <w:r w:rsidRPr="002A2EC2">
        <w:rPr>
          <w:rFonts w:cstheme="minorHAnsi"/>
        </w:rPr>
        <w:t>mgl</w:t>
      </w:r>
      <w:proofErr w:type="spellEnd"/>
      <w:r w:rsidRPr="002A2EC2">
        <w:rPr>
          <w:rFonts w:cstheme="minorHAnsi"/>
        </w:rPr>
        <w:t xml:space="preserve">/l. Każdy </w:t>
      </w:r>
      <w:proofErr w:type="spellStart"/>
      <w:r w:rsidRPr="002A2EC2">
        <w:rPr>
          <w:rFonts w:cstheme="minorHAnsi"/>
        </w:rPr>
        <w:t>ppk</w:t>
      </w:r>
      <w:proofErr w:type="spellEnd"/>
      <w:r>
        <w:rPr>
          <w:rFonts w:cstheme="minorHAnsi"/>
        </w:rPr>
        <w:t>,</w:t>
      </w:r>
      <w:r w:rsidRPr="002A2EC2">
        <w:rPr>
          <w:rFonts w:cstheme="minorHAnsi"/>
        </w:rPr>
        <w:t xml:space="preserve"> w którym wystąpiło przekroczenie, został przypisany do zlewni JCWP. Dla każdej </w:t>
      </w:r>
      <w:r>
        <w:rPr>
          <w:rFonts w:cstheme="minorHAnsi"/>
        </w:rPr>
        <w:t xml:space="preserve">zidentyfikowanej </w:t>
      </w:r>
      <w:r w:rsidRPr="002A2EC2">
        <w:rPr>
          <w:rFonts w:cstheme="minorHAnsi"/>
        </w:rPr>
        <w:t xml:space="preserve">w ten sposób JCWP, w ramach prac przedstawiono </w:t>
      </w:r>
      <w:r>
        <w:rPr>
          <w:rFonts w:cstheme="minorHAnsi"/>
        </w:rPr>
        <w:t>informację o</w:t>
      </w:r>
      <w:r w:rsidRPr="002A2EC2">
        <w:rPr>
          <w:rFonts w:cstheme="minorHAnsi"/>
        </w:rPr>
        <w:t xml:space="preserve"> </w:t>
      </w:r>
      <w:proofErr w:type="spellStart"/>
      <w:r w:rsidRPr="002A2EC2">
        <w:rPr>
          <w:rFonts w:cstheme="minorHAnsi"/>
        </w:rPr>
        <w:t>ppk</w:t>
      </w:r>
      <w:proofErr w:type="spellEnd"/>
      <w:r w:rsidRPr="002A2EC2">
        <w:rPr>
          <w:rFonts w:cstheme="minorHAnsi"/>
        </w:rPr>
        <w:t xml:space="preserve"> wykazujących przekroczenia 25 mg NO</w:t>
      </w:r>
      <w:r w:rsidRPr="002A2EC2">
        <w:rPr>
          <w:rFonts w:cstheme="minorHAnsi"/>
          <w:vertAlign w:val="subscript"/>
        </w:rPr>
        <w:t>3</w:t>
      </w:r>
      <w:r w:rsidRPr="002A2EC2">
        <w:rPr>
          <w:rFonts w:cstheme="minorHAnsi"/>
        </w:rPr>
        <w:t>/l wraz z</w:t>
      </w:r>
      <w:r>
        <w:rPr>
          <w:rFonts w:cstheme="minorHAnsi"/>
        </w:rPr>
        <w:t> </w:t>
      </w:r>
      <w:r w:rsidRPr="002A2EC2">
        <w:rPr>
          <w:rFonts w:cstheme="minorHAnsi"/>
        </w:rPr>
        <w:t>charakterystyką monitorowanych wód, wynikami stężeń azotanów w latach 20</w:t>
      </w:r>
      <w:r>
        <w:rPr>
          <w:rFonts w:cstheme="minorHAnsi"/>
        </w:rPr>
        <w:t>1</w:t>
      </w:r>
      <w:r w:rsidRPr="002A2EC2">
        <w:rPr>
          <w:rFonts w:cstheme="minorHAnsi"/>
        </w:rPr>
        <w:t>6-2020 oraz analizami zmian stężeń (tendencje i trendy). Zestawienie JCWP</w:t>
      </w:r>
      <w:r>
        <w:rPr>
          <w:rFonts w:cstheme="minorHAnsi"/>
        </w:rPr>
        <w:t>,</w:t>
      </w:r>
      <w:r w:rsidRPr="002A2EC2">
        <w:rPr>
          <w:rFonts w:cstheme="minorHAnsi"/>
        </w:rPr>
        <w:t xml:space="preserve"> dla których przeprowadzono analizę ukierunkowaną na ustalenie możliwych przyczyn wystąpienia przekroczeń, zostało przedstawione w Załączniku 2. </w:t>
      </w:r>
      <w:r w:rsidRPr="002A2EC2">
        <w:t>Wyniki przeprowadzonych analiz wykazały, że przekroczenia stężeń azotanów powyżej 25 mg NO</w:t>
      </w:r>
      <w:r w:rsidRPr="002A2EC2">
        <w:rPr>
          <w:vertAlign w:val="subscript"/>
        </w:rPr>
        <w:t>3</w:t>
      </w:r>
      <w:r w:rsidRPr="002A2EC2">
        <w:t xml:space="preserve">/l stwierdzono w 290 punktach pomiarowo-kontrolnych na obszarze 243 JCWP. </w:t>
      </w:r>
    </w:p>
    <w:p w14:paraId="6527155B" w14:textId="77777777" w:rsidR="006A5759" w:rsidRPr="002A2EC2" w:rsidRDefault="006A5759" w:rsidP="006A5759">
      <w:pPr>
        <w:spacing w:after="0" w:line="240" w:lineRule="auto"/>
        <w:jc w:val="both"/>
        <w:rPr>
          <w:rFonts w:cstheme="minorHAnsi"/>
        </w:rPr>
      </w:pPr>
      <w:r w:rsidRPr="002A2EC2">
        <w:rPr>
          <w:rFonts w:cstheme="minorHAnsi"/>
        </w:rPr>
        <w:t xml:space="preserve">W celu identyfikacji możliwych przyczyn zagrożenia zanieczyszczeniem wód </w:t>
      </w:r>
      <w:r>
        <w:rPr>
          <w:rFonts w:cstheme="minorHAnsi"/>
        </w:rPr>
        <w:t>powierzchniowyc</w:t>
      </w:r>
      <w:r w:rsidRPr="002A2EC2">
        <w:rPr>
          <w:rFonts w:cstheme="minorHAnsi"/>
        </w:rPr>
        <w:t>h azotanami w obrębie poszczególnych JCWP, dokonano analizy wyników następujących opracowań</w:t>
      </w:r>
      <w:r>
        <w:rPr>
          <w:rFonts w:cstheme="minorHAnsi"/>
        </w:rPr>
        <w:t>, których wyniki uwzględniają identyfikację presji mających wpływ na stan zasobów wód powierzchniowych</w:t>
      </w:r>
      <w:r w:rsidRPr="002A2EC2">
        <w:rPr>
          <w:rFonts w:cstheme="minorHAnsi"/>
        </w:rPr>
        <w:t>:</w:t>
      </w:r>
    </w:p>
    <w:p w14:paraId="276B2E89" w14:textId="77777777" w:rsidR="006A5759" w:rsidRPr="002A2EC2" w:rsidRDefault="006A5759" w:rsidP="006A5759">
      <w:pPr>
        <w:pStyle w:val="OSNpodstawowy"/>
        <w:numPr>
          <w:ilvl w:val="0"/>
          <w:numId w:val="25"/>
        </w:numPr>
        <w:spacing w:before="0" w:after="0" w:line="240" w:lineRule="auto"/>
        <w:rPr>
          <w:rFonts w:cstheme="minorHAnsi"/>
          <w:sz w:val="22"/>
          <w:szCs w:val="22"/>
        </w:rPr>
      </w:pPr>
      <w:r w:rsidRPr="002A2EC2">
        <w:rPr>
          <w:rFonts w:cstheme="minorHAnsi"/>
          <w:sz w:val="22"/>
          <w:szCs w:val="22"/>
        </w:rPr>
        <w:t>„Analiza znaczących oddziaływań antropogenicznych wraz z oceną ich wpływu na stan wód oraz ryzykiem nieosiągnięcia celów środowiskowych”</w:t>
      </w:r>
      <w:r>
        <w:rPr>
          <w:rStyle w:val="Odwoanieprzypisudolnego"/>
          <w:rFonts w:cstheme="minorHAnsi"/>
          <w:sz w:val="22"/>
          <w:szCs w:val="22"/>
        </w:rPr>
        <w:footnoteReference w:id="8"/>
      </w:r>
      <w:r w:rsidRPr="002A2EC2">
        <w:rPr>
          <w:rFonts w:cstheme="minorHAnsi"/>
          <w:sz w:val="22"/>
          <w:szCs w:val="22"/>
        </w:rPr>
        <w:t xml:space="preserve"> w zakresie identyfikacji głównego źródła presji troficznych i jego pochodzenia, a także w zakresie charakterystyki zlewni pod kątem jej zagospodarowania oraz informacji o dopływach,</w:t>
      </w:r>
    </w:p>
    <w:p w14:paraId="55E4F584" w14:textId="77777777" w:rsidR="006A5759" w:rsidRPr="002A2EC2" w:rsidRDefault="006A5759" w:rsidP="006A5759">
      <w:pPr>
        <w:pStyle w:val="OSNpodstawowy"/>
        <w:numPr>
          <w:ilvl w:val="0"/>
          <w:numId w:val="25"/>
        </w:numPr>
        <w:spacing w:before="0" w:after="0" w:line="240" w:lineRule="auto"/>
        <w:rPr>
          <w:rFonts w:cstheme="minorHAnsi"/>
          <w:sz w:val="22"/>
          <w:szCs w:val="22"/>
        </w:rPr>
      </w:pPr>
      <w:proofErr w:type="spellStart"/>
      <w:r w:rsidRPr="002A2EC2">
        <w:rPr>
          <w:rFonts w:cstheme="minorHAnsi"/>
          <w:sz w:val="22"/>
          <w:szCs w:val="22"/>
        </w:rPr>
        <w:t>IIaPGW</w:t>
      </w:r>
      <w:proofErr w:type="spellEnd"/>
      <w:r w:rsidRPr="002A2EC2">
        <w:rPr>
          <w:rFonts w:cstheme="minorHAnsi"/>
          <w:sz w:val="22"/>
          <w:szCs w:val="22"/>
        </w:rPr>
        <w:t xml:space="preserve"> w zakresie przedstawienia charakterystyki warunków naturalnych w ramach JCWP,</w:t>
      </w:r>
      <w:r>
        <w:rPr>
          <w:rFonts w:cstheme="minorHAnsi"/>
          <w:sz w:val="22"/>
          <w:szCs w:val="22"/>
        </w:rPr>
        <w:t xml:space="preserve"> mogących mieć wpływ na podwyższone stężenia wskaźników troficznych w wodach, w tym azotanów,</w:t>
      </w:r>
    </w:p>
    <w:p w14:paraId="4BABA830" w14:textId="77777777" w:rsidR="006A5759" w:rsidRPr="002A2EC2" w:rsidRDefault="006A5759" w:rsidP="006A5759">
      <w:pPr>
        <w:pStyle w:val="OSNpodstawowy"/>
        <w:numPr>
          <w:ilvl w:val="0"/>
          <w:numId w:val="25"/>
        </w:numPr>
        <w:spacing w:before="0" w:line="240" w:lineRule="auto"/>
        <w:rPr>
          <w:rFonts w:cstheme="minorHAnsi"/>
          <w:sz w:val="22"/>
          <w:szCs w:val="22"/>
        </w:rPr>
      </w:pPr>
      <w:proofErr w:type="spellStart"/>
      <w:r w:rsidRPr="002A2EC2">
        <w:rPr>
          <w:rFonts w:cstheme="minorHAnsi"/>
          <w:sz w:val="22"/>
          <w:szCs w:val="22"/>
        </w:rPr>
        <w:t>aPGW</w:t>
      </w:r>
      <w:proofErr w:type="spellEnd"/>
      <w:r w:rsidRPr="002A2EC2">
        <w:rPr>
          <w:rFonts w:cstheme="minorHAnsi"/>
          <w:sz w:val="22"/>
          <w:szCs w:val="22"/>
        </w:rPr>
        <w:t xml:space="preserve"> w zakresie identyfikacji czynników sprawczych powodujących znaczące presje punktowe i obszarowe (uzupełniająco, tylko w odniesieniu do JCWP, dla których w ramach „Analiz</w:t>
      </w:r>
      <w:r>
        <w:rPr>
          <w:rFonts w:cstheme="minorHAnsi"/>
          <w:sz w:val="22"/>
          <w:szCs w:val="22"/>
        </w:rPr>
        <w:t>y</w:t>
      </w:r>
      <w:r w:rsidRPr="002A2EC2">
        <w:rPr>
          <w:rFonts w:cstheme="minorHAnsi"/>
          <w:sz w:val="22"/>
          <w:szCs w:val="22"/>
        </w:rPr>
        <w:t xml:space="preserve"> znaczących oddziaływań antropogenicznych </w:t>
      </w:r>
      <w:r>
        <w:rPr>
          <w:rFonts w:cstheme="minorHAnsi"/>
          <w:sz w:val="22"/>
          <w:szCs w:val="22"/>
        </w:rPr>
        <w:t xml:space="preserve">…” </w:t>
      </w:r>
      <w:r w:rsidRPr="002A2EC2">
        <w:rPr>
          <w:rFonts w:cstheme="minorHAnsi"/>
          <w:sz w:val="22"/>
          <w:szCs w:val="22"/>
        </w:rPr>
        <w:t>nie wskazano znaczącej presji troficznej).</w:t>
      </w:r>
    </w:p>
    <w:p w14:paraId="13600E1C" w14:textId="793CCDEF" w:rsidR="006A5759" w:rsidRPr="002A2EC2" w:rsidRDefault="006A5759" w:rsidP="006A5759">
      <w:pPr>
        <w:spacing w:after="120" w:line="240" w:lineRule="auto"/>
        <w:jc w:val="both"/>
      </w:pPr>
      <w:r w:rsidRPr="002A2EC2">
        <w:t xml:space="preserve">Azot azotanowy jest ostateczną formą zmineralizowanego azotu w  jego anionowej formie. W środowisku naturalnym, a tym samym w wodach powierzchniowych oraz podziemnych, występuje w postaci azotanów. Jednym z głównych powodów migracji azotu azotanowego do środowiska wodnego jest wykorzystywanie nawozów. Dzięki spływowi powierzchniowemu oraz wymywaniu z gleb użytków rolnych, przedostaje się on  do wód w dużych ilościach. Ponadto azot azotanowy migruje do wód </w:t>
      </w:r>
      <w:r>
        <w:t>ze</w:t>
      </w:r>
      <w:r w:rsidRPr="002A2EC2">
        <w:t xml:space="preserve"> źród</w:t>
      </w:r>
      <w:r>
        <w:t>eł</w:t>
      </w:r>
      <w:r w:rsidRPr="002A2EC2">
        <w:t xml:space="preserve"> przemysłow</w:t>
      </w:r>
      <w:r>
        <w:t>ych</w:t>
      </w:r>
      <w:r w:rsidRPr="002A2EC2">
        <w:t xml:space="preserve"> (przemysł chemiczny, głównie nawozowy i farmaceutyczny). Azot azotanowy przechodzi do środowiska wodnego również w wyniku naturalnych przemian biochemicznych powodujących całkowitą mineralizacje niektórych form organicznych azotu, pochodzących z hodowli zwierząt, </w:t>
      </w:r>
      <w:r>
        <w:t xml:space="preserve">ze </w:t>
      </w:r>
      <w:r w:rsidRPr="002A2EC2">
        <w:t>skład</w:t>
      </w:r>
      <w:r>
        <w:t>owisk odpadów oraz domostw.</w:t>
      </w:r>
      <w:r w:rsidRPr="002A2EC2">
        <w:rPr>
          <w:rStyle w:val="Odwoanieprzypisudolnego"/>
        </w:rPr>
        <w:footnoteReference w:id="9"/>
      </w:r>
    </w:p>
    <w:p w14:paraId="02C0F605" w14:textId="61A20502" w:rsidR="00186C9E" w:rsidRDefault="00186C9E" w:rsidP="00186C9E">
      <w:pPr>
        <w:pStyle w:val="OSNpodstawowy"/>
        <w:spacing w:before="0" w:after="0" w:line="240" w:lineRule="auto"/>
        <w:rPr>
          <w:rFonts w:cstheme="minorHAnsi"/>
          <w:sz w:val="22"/>
          <w:szCs w:val="22"/>
        </w:rPr>
      </w:pPr>
    </w:p>
    <w:p w14:paraId="185F8E16" w14:textId="065CE0EA" w:rsidR="00186C9E" w:rsidRPr="002A2EC2" w:rsidRDefault="00186C9E" w:rsidP="00186C9E">
      <w:pPr>
        <w:spacing w:after="0" w:line="240" w:lineRule="auto"/>
        <w:jc w:val="both"/>
      </w:pPr>
      <w:r w:rsidRPr="002A2EC2">
        <w:t>Do źródeł presji troficznych</w:t>
      </w:r>
      <w:r w:rsidR="00137F1C">
        <w:t xml:space="preserve"> występujących </w:t>
      </w:r>
      <w:r w:rsidRPr="002A2EC2">
        <w:t>w analizowanych JCWP należą:</w:t>
      </w:r>
    </w:p>
    <w:p w14:paraId="24DA9911" w14:textId="77777777" w:rsidR="00186C9E" w:rsidRPr="002A2EC2" w:rsidRDefault="00186C9E" w:rsidP="00186C9E">
      <w:pPr>
        <w:pStyle w:val="OSNpodstawowy"/>
        <w:numPr>
          <w:ilvl w:val="0"/>
          <w:numId w:val="25"/>
        </w:numPr>
        <w:spacing w:before="0" w:after="0" w:line="240" w:lineRule="auto"/>
        <w:rPr>
          <w:rFonts w:cstheme="minorHAnsi"/>
          <w:sz w:val="22"/>
          <w:szCs w:val="22"/>
        </w:rPr>
      </w:pPr>
      <w:r w:rsidRPr="002A2EC2">
        <w:rPr>
          <w:rFonts w:cstheme="minorHAnsi"/>
          <w:sz w:val="22"/>
          <w:szCs w:val="22"/>
        </w:rPr>
        <w:t>nawożenie i depozycja (</w:t>
      </w:r>
      <w:r>
        <w:rPr>
          <w:rFonts w:cstheme="minorHAnsi"/>
          <w:sz w:val="22"/>
          <w:szCs w:val="22"/>
        </w:rPr>
        <w:t>72</w:t>
      </w:r>
      <w:r w:rsidRPr="002A2EC2">
        <w:rPr>
          <w:rFonts w:cstheme="minorHAnsi"/>
          <w:sz w:val="22"/>
          <w:szCs w:val="22"/>
        </w:rPr>
        <w:t xml:space="preserve">% JCWP), </w:t>
      </w:r>
    </w:p>
    <w:p w14:paraId="712EE80E" w14:textId="77777777" w:rsidR="00186C9E" w:rsidRDefault="00186C9E" w:rsidP="00186C9E">
      <w:pPr>
        <w:pStyle w:val="OSNpodstawowy"/>
        <w:numPr>
          <w:ilvl w:val="0"/>
          <w:numId w:val="25"/>
        </w:numPr>
        <w:spacing w:before="0" w:after="0" w:line="240" w:lineRule="auto"/>
        <w:rPr>
          <w:rFonts w:cstheme="minorHAnsi"/>
          <w:sz w:val="22"/>
          <w:szCs w:val="22"/>
        </w:rPr>
      </w:pPr>
      <w:r w:rsidRPr="002A2EC2">
        <w:rPr>
          <w:rFonts w:cstheme="minorHAnsi"/>
          <w:sz w:val="22"/>
          <w:szCs w:val="22"/>
        </w:rPr>
        <w:lastRenderedPageBreak/>
        <w:t>odpływ miejski (</w:t>
      </w:r>
      <w:r>
        <w:rPr>
          <w:rFonts w:cstheme="minorHAnsi"/>
          <w:sz w:val="22"/>
          <w:szCs w:val="22"/>
        </w:rPr>
        <w:t>64</w:t>
      </w:r>
      <w:r w:rsidRPr="002A2EC2">
        <w:rPr>
          <w:rFonts w:cstheme="minorHAnsi"/>
          <w:sz w:val="22"/>
          <w:szCs w:val="22"/>
        </w:rPr>
        <w:t>% JCWP),</w:t>
      </w:r>
    </w:p>
    <w:p w14:paraId="2F895AD9" w14:textId="1FA709ED" w:rsidR="00186C9E" w:rsidRPr="002A2EC2" w:rsidRDefault="00186C9E" w:rsidP="00186C9E">
      <w:pPr>
        <w:pStyle w:val="OSNpodstawowy"/>
        <w:numPr>
          <w:ilvl w:val="0"/>
          <w:numId w:val="25"/>
        </w:numPr>
        <w:spacing w:before="0" w:after="0" w:line="240" w:lineRule="auto"/>
        <w:rPr>
          <w:rFonts w:cstheme="minorHAnsi"/>
          <w:sz w:val="22"/>
          <w:szCs w:val="22"/>
        </w:rPr>
      </w:pPr>
      <w:r>
        <w:rPr>
          <w:rFonts w:cstheme="minorHAnsi"/>
          <w:sz w:val="22"/>
          <w:szCs w:val="22"/>
        </w:rPr>
        <w:t>źródła przemysłowe (24% JCWP)</w:t>
      </w:r>
    </w:p>
    <w:p w14:paraId="436EF0C0" w14:textId="4BB23D67" w:rsidR="00186C9E" w:rsidRPr="002A2EC2" w:rsidRDefault="00186C9E" w:rsidP="00186C9E">
      <w:pPr>
        <w:pStyle w:val="OSNpodstawowy"/>
        <w:numPr>
          <w:ilvl w:val="0"/>
          <w:numId w:val="25"/>
        </w:numPr>
        <w:spacing w:before="0" w:after="0" w:line="240" w:lineRule="auto"/>
        <w:rPr>
          <w:rFonts w:cstheme="minorHAnsi"/>
          <w:sz w:val="22"/>
          <w:szCs w:val="22"/>
        </w:rPr>
      </w:pPr>
      <w:r w:rsidRPr="002A2EC2">
        <w:rPr>
          <w:rFonts w:cstheme="minorHAnsi"/>
          <w:sz w:val="22"/>
          <w:szCs w:val="22"/>
        </w:rPr>
        <w:t>źródła bytowe i komunalne (3</w:t>
      </w:r>
      <w:r>
        <w:rPr>
          <w:rFonts w:cstheme="minorHAnsi"/>
          <w:sz w:val="22"/>
          <w:szCs w:val="22"/>
        </w:rPr>
        <w:t>5</w:t>
      </w:r>
      <w:r w:rsidRPr="002A2EC2">
        <w:rPr>
          <w:rFonts w:cstheme="minorHAnsi"/>
          <w:sz w:val="22"/>
          <w:szCs w:val="22"/>
        </w:rPr>
        <w:t>%</w:t>
      </w:r>
      <w:r w:rsidR="0081773E">
        <w:rPr>
          <w:rFonts w:cstheme="minorHAnsi"/>
          <w:sz w:val="22"/>
          <w:szCs w:val="22"/>
        </w:rPr>
        <w:t xml:space="preserve"> JCWP</w:t>
      </w:r>
      <w:r w:rsidRPr="002A2EC2">
        <w:rPr>
          <w:rFonts w:cstheme="minorHAnsi"/>
          <w:sz w:val="22"/>
          <w:szCs w:val="22"/>
        </w:rPr>
        <w:t>),</w:t>
      </w:r>
    </w:p>
    <w:p w14:paraId="1216DF41" w14:textId="77777777" w:rsidR="00186C9E" w:rsidRPr="0074477F" w:rsidRDefault="00186C9E" w:rsidP="00186C9E">
      <w:pPr>
        <w:pStyle w:val="OSNpodstawowy"/>
        <w:numPr>
          <w:ilvl w:val="0"/>
          <w:numId w:val="25"/>
        </w:numPr>
        <w:spacing w:before="0" w:after="0" w:line="240" w:lineRule="auto"/>
        <w:rPr>
          <w:rFonts w:cstheme="minorHAnsi"/>
          <w:sz w:val="22"/>
          <w:szCs w:val="22"/>
        </w:rPr>
      </w:pPr>
      <w:r w:rsidRPr="002A2EC2">
        <w:rPr>
          <w:rFonts w:cstheme="minorHAnsi"/>
          <w:sz w:val="22"/>
          <w:szCs w:val="22"/>
        </w:rPr>
        <w:t>rolnictwo (</w:t>
      </w:r>
      <w:r>
        <w:rPr>
          <w:rFonts w:cstheme="minorHAnsi"/>
          <w:sz w:val="22"/>
          <w:szCs w:val="22"/>
        </w:rPr>
        <w:t>4% JCWP).</w:t>
      </w:r>
    </w:p>
    <w:p w14:paraId="7A6F4DA1" w14:textId="663487A9" w:rsidR="00AA2EFC" w:rsidRDefault="006A5759" w:rsidP="00D331FB">
      <w:pPr>
        <w:pStyle w:val="OSNpodstawowy"/>
        <w:spacing w:after="0" w:line="240" w:lineRule="auto"/>
        <w:ind w:firstLine="0"/>
        <w:rPr>
          <w:rFonts w:cstheme="minorHAnsi"/>
          <w:sz w:val="22"/>
          <w:szCs w:val="22"/>
        </w:rPr>
      </w:pPr>
      <w:r w:rsidRPr="002A2EC2">
        <w:rPr>
          <w:rFonts w:cstheme="minorHAnsi"/>
          <w:sz w:val="22"/>
          <w:szCs w:val="22"/>
        </w:rPr>
        <w:t xml:space="preserve">Dla 18 JCWP (8%) JCWP, nie wskazano znaczącej presji. W tej grupie znajdują się JCWP, które w analizowanym pięcioletnim okresie 2016-2020 były badane jednokrotnie, a wartość stężenia azotanów zawierała się w przedziale &gt;25 mg/l. Ze względu na brak danych pozwalających na </w:t>
      </w:r>
      <w:r>
        <w:rPr>
          <w:rFonts w:cstheme="minorHAnsi"/>
          <w:sz w:val="22"/>
          <w:szCs w:val="22"/>
        </w:rPr>
        <w:t>określenie</w:t>
      </w:r>
      <w:r w:rsidRPr="002A2EC2">
        <w:rPr>
          <w:rFonts w:cstheme="minorHAnsi"/>
          <w:sz w:val="22"/>
          <w:szCs w:val="22"/>
        </w:rPr>
        <w:t xml:space="preserve"> występujących tendencji bądź trendów</w:t>
      </w:r>
      <w:r>
        <w:rPr>
          <w:rFonts w:cstheme="minorHAnsi"/>
          <w:sz w:val="22"/>
          <w:szCs w:val="22"/>
        </w:rPr>
        <w:t xml:space="preserve"> w zakresie stężenia azotanów</w:t>
      </w:r>
      <w:r w:rsidRPr="002A2EC2">
        <w:rPr>
          <w:rFonts w:cstheme="minorHAnsi"/>
          <w:sz w:val="22"/>
          <w:szCs w:val="22"/>
        </w:rPr>
        <w:t xml:space="preserve">, nie ma podstaw do stwierdzenia występowania znaczącej i utrzymującej się presji w tych JCWP. Prowadzenie monitoringu w kolejnych latach pozwoli na stwierdzenie, czy występujące przekroczenie było jednorazowe, czy w zlewni </w:t>
      </w:r>
      <w:r w:rsidRPr="00043E51">
        <w:rPr>
          <w:rFonts w:cstheme="minorHAnsi"/>
          <w:sz w:val="22"/>
          <w:szCs w:val="22"/>
        </w:rPr>
        <w:t xml:space="preserve">występuje stała </w:t>
      </w:r>
      <w:r w:rsidRPr="00155FE2">
        <w:rPr>
          <w:rFonts w:cstheme="minorHAnsi"/>
          <w:sz w:val="22"/>
          <w:szCs w:val="22"/>
        </w:rPr>
        <w:t>presja.</w:t>
      </w:r>
      <w:r w:rsidR="00043E51" w:rsidRPr="00155FE2">
        <w:rPr>
          <w:rFonts w:cstheme="minorHAnsi"/>
          <w:sz w:val="22"/>
          <w:szCs w:val="22"/>
        </w:rPr>
        <w:t xml:space="preserve"> </w:t>
      </w:r>
    </w:p>
    <w:p w14:paraId="1C63816D" w14:textId="084551F0" w:rsidR="00AA2EFC" w:rsidRDefault="00043E51" w:rsidP="00D331FB">
      <w:pPr>
        <w:pStyle w:val="OSNpodstawowy"/>
        <w:spacing w:after="0" w:line="240" w:lineRule="auto"/>
        <w:ind w:firstLine="0"/>
        <w:rPr>
          <w:rFonts w:cstheme="minorHAnsi"/>
          <w:sz w:val="22"/>
          <w:szCs w:val="22"/>
        </w:rPr>
      </w:pPr>
      <w:r w:rsidRPr="00155FE2">
        <w:rPr>
          <w:rFonts w:cstheme="minorHAnsi"/>
          <w:sz w:val="22"/>
          <w:szCs w:val="22"/>
        </w:rPr>
        <w:t xml:space="preserve">Warto </w:t>
      </w:r>
      <w:r w:rsidR="00AA2EFC">
        <w:rPr>
          <w:rFonts w:cstheme="minorHAnsi"/>
          <w:sz w:val="22"/>
          <w:szCs w:val="22"/>
        </w:rPr>
        <w:t xml:space="preserve">również </w:t>
      </w:r>
      <w:r w:rsidRPr="00155FE2">
        <w:rPr>
          <w:rFonts w:cstheme="minorHAnsi"/>
          <w:sz w:val="22"/>
          <w:szCs w:val="22"/>
        </w:rPr>
        <w:t>podkreślić, że w ramach „Analizy presji...”</w:t>
      </w:r>
      <w:r w:rsidR="00AA2EFC">
        <w:rPr>
          <w:rStyle w:val="Odwoanieprzypisudolnego"/>
          <w:rFonts w:cstheme="minorHAnsi"/>
          <w:sz w:val="22"/>
          <w:szCs w:val="22"/>
        </w:rPr>
        <w:footnoteReference w:id="10"/>
      </w:r>
      <w:r w:rsidR="00ED483D">
        <w:rPr>
          <w:rFonts w:cstheme="minorHAnsi"/>
          <w:sz w:val="22"/>
          <w:szCs w:val="22"/>
        </w:rPr>
        <w:t xml:space="preserve"> stanowiącej główne źródło informacji o możliwych przyczynach występowania przekroczeń azotanów w wodach powierzchniowych powyżej 25 mg/l przyjęto/ wnioskowano</w:t>
      </w:r>
      <w:r w:rsidR="00AA2EFC">
        <w:rPr>
          <w:rFonts w:cstheme="minorHAnsi"/>
          <w:sz w:val="22"/>
          <w:szCs w:val="22"/>
        </w:rPr>
        <w:t>:</w:t>
      </w:r>
      <w:r w:rsidRPr="00155FE2">
        <w:rPr>
          <w:rFonts w:cstheme="minorHAnsi"/>
          <w:sz w:val="22"/>
          <w:szCs w:val="22"/>
        </w:rPr>
        <w:t xml:space="preserve"> </w:t>
      </w:r>
    </w:p>
    <w:p w14:paraId="7E4CF72D" w14:textId="6177EB3F" w:rsidR="00ED483D" w:rsidRPr="00291916" w:rsidRDefault="00ED483D" w:rsidP="00AA2EFC">
      <w:pPr>
        <w:pStyle w:val="OSNpodstawowy"/>
        <w:numPr>
          <w:ilvl w:val="0"/>
          <w:numId w:val="27"/>
        </w:numPr>
        <w:spacing w:after="0" w:line="240" w:lineRule="auto"/>
        <w:rPr>
          <w:rFonts w:cstheme="minorHAnsi"/>
          <w:sz w:val="22"/>
          <w:szCs w:val="22"/>
        </w:rPr>
      </w:pPr>
      <w:r>
        <w:rPr>
          <w:rFonts w:cstheme="minorHAnsi"/>
          <w:sz w:val="22"/>
          <w:szCs w:val="22"/>
        </w:rPr>
        <w:t>[</w:t>
      </w:r>
      <w:r w:rsidR="00AA2EFC">
        <w:rPr>
          <w:rFonts w:cstheme="minorHAnsi"/>
          <w:sz w:val="22"/>
          <w:szCs w:val="22"/>
        </w:rPr>
        <w:t>…</w:t>
      </w:r>
      <w:r>
        <w:rPr>
          <w:rFonts w:cstheme="minorHAnsi"/>
          <w:sz w:val="22"/>
          <w:szCs w:val="22"/>
        </w:rPr>
        <w:t>]</w:t>
      </w:r>
      <w:r w:rsidR="00AA2EFC">
        <w:rPr>
          <w:rFonts w:cstheme="minorHAnsi"/>
          <w:sz w:val="22"/>
          <w:szCs w:val="22"/>
        </w:rPr>
        <w:t xml:space="preserve"> </w:t>
      </w:r>
      <w:r w:rsidR="00043E51" w:rsidRPr="00155FE2">
        <w:rPr>
          <w:rFonts w:cs="Calibri"/>
          <w:color w:val="222222"/>
          <w:sz w:val="22"/>
          <w:szCs w:val="22"/>
        </w:rPr>
        <w:t>wyznaczanie czynników sprawczych</w:t>
      </w:r>
      <w:r w:rsidR="00D331FB" w:rsidRPr="00155FE2">
        <w:rPr>
          <w:rFonts w:cs="Calibri"/>
          <w:color w:val="222222"/>
          <w:sz w:val="22"/>
          <w:szCs w:val="22"/>
        </w:rPr>
        <w:t xml:space="preserve"> </w:t>
      </w:r>
      <w:r w:rsidR="00043E51" w:rsidRPr="00155FE2">
        <w:rPr>
          <w:rFonts w:cs="Calibri"/>
          <w:color w:val="222222"/>
          <w:sz w:val="22"/>
          <w:szCs w:val="22"/>
        </w:rPr>
        <w:t xml:space="preserve">bazowało na dostępnych informacjach literaturowych, informacji o typie zagospodarowania zlewni oraz </w:t>
      </w:r>
      <w:r w:rsidR="002918E1">
        <w:rPr>
          <w:rFonts w:cs="Calibri"/>
          <w:color w:val="000000"/>
          <w:sz w:val="22"/>
          <w:szCs w:val="22"/>
        </w:rPr>
        <w:t xml:space="preserve">lokalizacji </w:t>
      </w:r>
      <w:proofErr w:type="spellStart"/>
      <w:r w:rsidR="002918E1">
        <w:rPr>
          <w:rFonts w:cs="Calibri"/>
          <w:color w:val="000000"/>
          <w:sz w:val="22"/>
          <w:szCs w:val="22"/>
        </w:rPr>
        <w:t>aJCWP</w:t>
      </w:r>
      <w:proofErr w:type="spellEnd"/>
      <w:r w:rsidR="002918E1">
        <w:rPr>
          <w:rFonts w:cs="Calibri"/>
          <w:color w:val="000000"/>
          <w:sz w:val="22"/>
          <w:szCs w:val="22"/>
        </w:rPr>
        <w:t xml:space="preserve"> w </w:t>
      </w:r>
      <w:r w:rsidR="00043E51" w:rsidRPr="00155FE2">
        <w:rPr>
          <w:rFonts w:cs="Calibri"/>
          <w:color w:val="000000"/>
          <w:sz w:val="22"/>
          <w:szCs w:val="22"/>
        </w:rPr>
        <w:t>strukturze hydrograficznej. Jednak nawet w przypadku znacznej dominacji jednego typu zagospodarowania terenu w obrębie analizowanej zlewni, czynnik sprawczy presji nie został do niego bezpośrednio przypisany</w:t>
      </w:r>
      <w:r>
        <w:rPr>
          <w:rFonts w:cs="Calibri"/>
          <w:color w:val="000000"/>
          <w:sz w:val="22"/>
          <w:szCs w:val="22"/>
        </w:rPr>
        <w:t>;</w:t>
      </w:r>
    </w:p>
    <w:p w14:paraId="7BA14005" w14:textId="38E06299" w:rsidR="00ED483D" w:rsidRDefault="00ED483D" w:rsidP="00AA2EFC">
      <w:pPr>
        <w:pStyle w:val="OSNpodstawowy"/>
        <w:numPr>
          <w:ilvl w:val="0"/>
          <w:numId w:val="27"/>
        </w:numPr>
        <w:spacing w:after="0" w:line="240" w:lineRule="auto"/>
        <w:rPr>
          <w:rFonts w:cstheme="minorHAnsi"/>
          <w:sz w:val="22"/>
          <w:szCs w:val="22"/>
        </w:rPr>
      </w:pPr>
      <w:r w:rsidRPr="00ED483D">
        <w:rPr>
          <w:rFonts w:cstheme="minorHAnsi"/>
          <w:sz w:val="22"/>
          <w:szCs w:val="22"/>
        </w:rPr>
        <w:t>Zarówno w zlewniach bez dopływów jak i z dopływami dominowały mieszane czynniki sprawcze</w:t>
      </w:r>
      <w:r>
        <w:rPr>
          <w:rFonts w:cstheme="minorHAnsi"/>
          <w:sz w:val="22"/>
          <w:szCs w:val="22"/>
        </w:rPr>
        <w:t>;</w:t>
      </w:r>
    </w:p>
    <w:p w14:paraId="72D59C7A" w14:textId="6A5D4438" w:rsidR="00043E51" w:rsidRPr="00D331FB" w:rsidRDefault="00ED483D" w:rsidP="00ED483D">
      <w:pPr>
        <w:pStyle w:val="OSNpodstawowy"/>
        <w:numPr>
          <w:ilvl w:val="0"/>
          <w:numId w:val="27"/>
        </w:numPr>
        <w:spacing w:after="0" w:line="240" w:lineRule="auto"/>
        <w:rPr>
          <w:rFonts w:cstheme="minorHAnsi"/>
          <w:sz w:val="22"/>
          <w:szCs w:val="22"/>
        </w:rPr>
      </w:pPr>
      <w:r w:rsidRPr="00ED483D">
        <w:rPr>
          <w:rFonts w:cstheme="minorHAnsi"/>
          <w:sz w:val="22"/>
          <w:szCs w:val="22"/>
        </w:rPr>
        <w:t xml:space="preserve">Wynikiem analiz jest wskazanie </w:t>
      </w:r>
      <w:r w:rsidRPr="00291916">
        <w:rPr>
          <w:rFonts w:cstheme="minorHAnsi"/>
          <w:sz w:val="22"/>
          <w:szCs w:val="22"/>
          <w:u w:val="single"/>
        </w:rPr>
        <w:t>prawdopodobnego</w:t>
      </w:r>
      <w:r w:rsidRPr="00ED483D">
        <w:rPr>
          <w:rFonts w:cstheme="minorHAnsi"/>
          <w:sz w:val="22"/>
          <w:szCs w:val="22"/>
        </w:rPr>
        <w:t xml:space="preserve"> </w:t>
      </w:r>
      <w:r>
        <w:rPr>
          <w:rFonts w:cs="Calibri"/>
          <w:sz w:val="22"/>
          <w:szCs w:val="22"/>
        </w:rPr>
        <w:t>„</w:t>
      </w:r>
      <w:r w:rsidRPr="00ED483D">
        <w:rPr>
          <w:rFonts w:cs="Calibri"/>
          <w:sz w:val="22"/>
          <w:szCs w:val="22"/>
        </w:rPr>
        <w:t>ź</w:t>
      </w:r>
      <w:r w:rsidRPr="00ED483D">
        <w:rPr>
          <w:rFonts w:cstheme="minorHAnsi"/>
          <w:sz w:val="22"/>
          <w:szCs w:val="22"/>
        </w:rPr>
        <w:t>r</w:t>
      </w:r>
      <w:r w:rsidRPr="00ED483D">
        <w:rPr>
          <w:rFonts w:cs="Calibri"/>
          <w:sz w:val="22"/>
          <w:szCs w:val="22"/>
        </w:rPr>
        <w:t>ó</w:t>
      </w:r>
      <w:r w:rsidRPr="00ED483D">
        <w:rPr>
          <w:rFonts w:cstheme="minorHAnsi"/>
          <w:sz w:val="22"/>
          <w:szCs w:val="22"/>
        </w:rPr>
        <w:t>d</w:t>
      </w:r>
      <w:r w:rsidRPr="00ED483D">
        <w:rPr>
          <w:rFonts w:cs="Calibri"/>
          <w:sz w:val="22"/>
          <w:szCs w:val="22"/>
        </w:rPr>
        <w:t>ł</w:t>
      </w:r>
      <w:r w:rsidRPr="00ED483D">
        <w:rPr>
          <w:rFonts w:cstheme="minorHAnsi"/>
          <w:sz w:val="22"/>
          <w:szCs w:val="22"/>
        </w:rPr>
        <w:t>a/</w:t>
      </w:r>
      <w:r w:rsidRPr="00ED483D">
        <w:rPr>
          <w:rFonts w:cs="Calibri"/>
          <w:sz w:val="22"/>
          <w:szCs w:val="22"/>
        </w:rPr>
        <w:t>ź</w:t>
      </w:r>
      <w:r w:rsidRPr="00ED483D">
        <w:rPr>
          <w:rFonts w:cstheme="minorHAnsi"/>
          <w:sz w:val="22"/>
          <w:szCs w:val="22"/>
        </w:rPr>
        <w:t>r</w:t>
      </w:r>
      <w:r w:rsidRPr="00ED483D">
        <w:rPr>
          <w:rFonts w:cs="Calibri"/>
          <w:sz w:val="22"/>
          <w:szCs w:val="22"/>
        </w:rPr>
        <w:t>ó</w:t>
      </w:r>
      <w:r w:rsidRPr="00ED483D">
        <w:rPr>
          <w:rFonts w:cstheme="minorHAnsi"/>
          <w:sz w:val="22"/>
          <w:szCs w:val="22"/>
        </w:rPr>
        <w:t>de</w:t>
      </w:r>
      <w:r w:rsidRPr="00ED483D">
        <w:rPr>
          <w:rFonts w:cs="Calibri"/>
          <w:sz w:val="22"/>
          <w:szCs w:val="22"/>
        </w:rPr>
        <w:t>ł</w:t>
      </w:r>
      <w:r>
        <w:rPr>
          <w:rFonts w:cs="Calibri"/>
          <w:sz w:val="22"/>
          <w:szCs w:val="22"/>
        </w:rPr>
        <w:t>”</w:t>
      </w:r>
      <w:r w:rsidRPr="00ED483D">
        <w:rPr>
          <w:rFonts w:cstheme="minorHAnsi"/>
          <w:sz w:val="22"/>
          <w:szCs w:val="22"/>
        </w:rPr>
        <w:t xml:space="preserve"> znacz</w:t>
      </w:r>
      <w:r w:rsidRPr="00ED483D">
        <w:rPr>
          <w:rFonts w:cs="Calibri"/>
          <w:sz w:val="22"/>
          <w:szCs w:val="22"/>
        </w:rPr>
        <w:t>ą</w:t>
      </w:r>
      <w:r w:rsidRPr="00ED483D">
        <w:rPr>
          <w:rFonts w:cstheme="minorHAnsi"/>
          <w:sz w:val="22"/>
          <w:szCs w:val="22"/>
        </w:rPr>
        <w:t>cej presji</w:t>
      </w:r>
      <w:r>
        <w:rPr>
          <w:rFonts w:cstheme="minorHAnsi"/>
          <w:sz w:val="22"/>
          <w:szCs w:val="22"/>
        </w:rPr>
        <w:t xml:space="preserve"> </w:t>
      </w:r>
      <w:r w:rsidRPr="00ED483D">
        <w:rPr>
          <w:rFonts w:cstheme="minorHAnsi"/>
          <w:sz w:val="22"/>
          <w:szCs w:val="22"/>
        </w:rPr>
        <w:t xml:space="preserve">antropogenicznej w każdej analizowanej </w:t>
      </w:r>
      <w:proofErr w:type="spellStart"/>
      <w:r w:rsidRPr="00ED483D">
        <w:rPr>
          <w:rFonts w:cstheme="minorHAnsi"/>
          <w:sz w:val="22"/>
          <w:szCs w:val="22"/>
        </w:rPr>
        <w:t>aJCWP</w:t>
      </w:r>
      <w:proofErr w:type="spellEnd"/>
      <w:r>
        <w:rPr>
          <w:rFonts w:cstheme="minorHAnsi"/>
          <w:sz w:val="22"/>
          <w:szCs w:val="22"/>
        </w:rPr>
        <w:t xml:space="preserve"> […].</w:t>
      </w:r>
    </w:p>
    <w:p w14:paraId="68A332AE" w14:textId="77777777" w:rsidR="00CB789E" w:rsidRDefault="00CB789E" w:rsidP="006A5759">
      <w:pPr>
        <w:pStyle w:val="Akapitzlist"/>
        <w:spacing w:after="0" w:line="240" w:lineRule="auto"/>
        <w:ind w:left="0"/>
        <w:jc w:val="both"/>
        <w:rPr>
          <w:rFonts w:cs="ArialNarrow"/>
        </w:rPr>
      </w:pPr>
    </w:p>
    <w:p w14:paraId="695FDC06" w14:textId="7A6C04A5" w:rsidR="00CB789E" w:rsidRDefault="006A5759" w:rsidP="006A5759">
      <w:pPr>
        <w:pStyle w:val="Akapitzlist"/>
        <w:spacing w:after="0" w:line="240" w:lineRule="auto"/>
        <w:ind w:left="0"/>
        <w:jc w:val="both"/>
        <w:rPr>
          <w:rFonts w:cs="ArialNarrow"/>
        </w:rPr>
      </w:pPr>
      <w:r w:rsidRPr="002A2EC2">
        <w:rPr>
          <w:rFonts w:cs="ArialNarrow"/>
        </w:rPr>
        <w:t>Szczegółowe wyniki analizy możliwych przyczyn wystąpienia średnich rocznych przekroczeń stężeń azotanów (powyżej 25 mg/l) w JCWP, w okresie 2016 –2020, przedstawiono w Załączniku 2.</w:t>
      </w:r>
      <w:r>
        <w:rPr>
          <w:rFonts w:cs="ArialNarrow"/>
        </w:rPr>
        <w:t xml:space="preserve"> </w:t>
      </w:r>
    </w:p>
    <w:p w14:paraId="1CFB15B8" w14:textId="77777777" w:rsidR="00CB789E" w:rsidRDefault="00CB789E">
      <w:pPr>
        <w:rPr>
          <w:rFonts w:cs="ArialNarrow"/>
        </w:rPr>
      </w:pPr>
      <w:r>
        <w:rPr>
          <w:rFonts w:cs="ArialNarrow"/>
        </w:rPr>
        <w:br w:type="page"/>
      </w:r>
    </w:p>
    <w:p w14:paraId="5C6A7088" w14:textId="77777777" w:rsidR="006A5759" w:rsidRDefault="006A5759" w:rsidP="006A5759">
      <w:pPr>
        <w:pStyle w:val="Akapitzlist"/>
        <w:spacing w:after="0" w:line="240" w:lineRule="auto"/>
        <w:ind w:left="0"/>
        <w:jc w:val="both"/>
        <w:rPr>
          <w:rFonts w:cs="ArialNarrow"/>
        </w:rPr>
      </w:pPr>
    </w:p>
    <w:p w14:paraId="62AED2D8" w14:textId="77777777" w:rsidR="00CB789E" w:rsidRDefault="00CB789E" w:rsidP="00CB789E">
      <w:pPr>
        <w:pStyle w:val="Nagwek1"/>
        <w:numPr>
          <w:ilvl w:val="0"/>
          <w:numId w:val="1"/>
        </w:numPr>
      </w:pPr>
      <w:r>
        <w:t>EUTROFIZACJA WÓD POWIERZCHNIOWYCH</w:t>
      </w:r>
    </w:p>
    <w:p w14:paraId="67DB8A06" w14:textId="77777777" w:rsidR="00CB789E" w:rsidRDefault="00CB789E" w:rsidP="00CB789E">
      <w:pPr>
        <w:pStyle w:val="Nagwek2"/>
        <w:numPr>
          <w:ilvl w:val="1"/>
          <w:numId w:val="1"/>
        </w:numPr>
      </w:pPr>
      <w:r>
        <w:t>Przyjęte założenia metodyczne</w:t>
      </w:r>
    </w:p>
    <w:p w14:paraId="6C4AF50C" w14:textId="77777777" w:rsidR="00CB789E" w:rsidRDefault="00CB789E" w:rsidP="00CB789E">
      <w:pPr>
        <w:jc w:val="both"/>
      </w:pPr>
      <w:r>
        <w:t xml:space="preserve">Analiza eutrofizacji wód powierzchniowych i zachodzących zmian w tym zakresie w wodach na obszarze kraju, została przeprowadzona poprzez </w:t>
      </w:r>
      <w:r w:rsidRPr="00700D54">
        <w:t>porównani</w:t>
      </w:r>
      <w:r>
        <w:t>e</w:t>
      </w:r>
      <w:r w:rsidRPr="00700D54">
        <w:t xml:space="preserve"> wartości średnich rocznych stężeń </w:t>
      </w:r>
      <w:r>
        <w:t xml:space="preserve">zmierzonych w 2020 r. w ramach PMŚ dla niżej wymienionych parametrów charakteryzujących eutrofizację wód, </w:t>
      </w:r>
      <w:r w:rsidRPr="00B42463">
        <w:t xml:space="preserve">z </w:t>
      </w:r>
      <w:r>
        <w:t xml:space="preserve">wynikami oceny eutrofizacji </w:t>
      </w:r>
      <w:r w:rsidRPr="00B42463">
        <w:t>z okresu 2016-2019</w:t>
      </w:r>
      <w:r>
        <w:t>:</w:t>
      </w:r>
    </w:p>
    <w:p w14:paraId="12A7CAA4" w14:textId="77777777" w:rsidR="00CB789E" w:rsidRDefault="00CB789E" w:rsidP="00CB789E">
      <w:pPr>
        <w:pStyle w:val="Akapitzlist"/>
        <w:numPr>
          <w:ilvl w:val="0"/>
          <w:numId w:val="28"/>
        </w:numPr>
        <w:autoSpaceDE w:val="0"/>
        <w:autoSpaceDN w:val="0"/>
        <w:adjustRightInd w:val="0"/>
        <w:spacing w:before="160" w:after="0"/>
        <w:jc w:val="both"/>
      </w:pPr>
      <w:r>
        <w:t>Azot azotanowy</w:t>
      </w:r>
      <w:r>
        <w:tab/>
      </w:r>
    </w:p>
    <w:p w14:paraId="4A15C407" w14:textId="77777777" w:rsidR="00CB789E" w:rsidRPr="00B42463" w:rsidRDefault="00CB789E" w:rsidP="00CB789E">
      <w:pPr>
        <w:pStyle w:val="Akapitzlist"/>
        <w:numPr>
          <w:ilvl w:val="0"/>
          <w:numId w:val="28"/>
        </w:numPr>
        <w:autoSpaceDE w:val="0"/>
        <w:autoSpaceDN w:val="0"/>
        <w:adjustRightInd w:val="0"/>
        <w:spacing w:before="160" w:after="0"/>
        <w:jc w:val="both"/>
        <w:rPr>
          <w:rFonts w:cs="ArialNarrow"/>
          <w:bCs/>
        </w:rPr>
      </w:pPr>
      <w:r w:rsidRPr="00B42463">
        <w:rPr>
          <w:rFonts w:cs="ArialNarrow"/>
          <w:bCs/>
        </w:rPr>
        <w:t>Azot ogólny;</w:t>
      </w:r>
    </w:p>
    <w:p w14:paraId="400E2133" w14:textId="77777777" w:rsidR="00CB789E" w:rsidRPr="00B42463" w:rsidRDefault="00CB789E" w:rsidP="00CB789E">
      <w:pPr>
        <w:pStyle w:val="Akapitzlist"/>
        <w:numPr>
          <w:ilvl w:val="0"/>
          <w:numId w:val="28"/>
        </w:numPr>
        <w:autoSpaceDE w:val="0"/>
        <w:autoSpaceDN w:val="0"/>
        <w:adjustRightInd w:val="0"/>
        <w:spacing w:before="160" w:after="0"/>
        <w:jc w:val="both"/>
        <w:rPr>
          <w:rFonts w:cs="ArialNarrow"/>
          <w:bCs/>
        </w:rPr>
      </w:pPr>
      <w:r w:rsidRPr="00B42463">
        <w:rPr>
          <w:rFonts w:cs="ArialNarrow"/>
          <w:bCs/>
        </w:rPr>
        <w:t>Fosfor ogólny;</w:t>
      </w:r>
    </w:p>
    <w:p w14:paraId="791C8780" w14:textId="77777777" w:rsidR="00CB789E" w:rsidRPr="00B42463" w:rsidRDefault="00CB789E" w:rsidP="00CB789E">
      <w:pPr>
        <w:pStyle w:val="Akapitzlist"/>
        <w:numPr>
          <w:ilvl w:val="0"/>
          <w:numId w:val="28"/>
        </w:numPr>
        <w:autoSpaceDE w:val="0"/>
        <w:autoSpaceDN w:val="0"/>
        <w:adjustRightInd w:val="0"/>
        <w:spacing w:before="160" w:after="0"/>
        <w:jc w:val="both"/>
        <w:rPr>
          <w:rFonts w:cs="ArialNarrow"/>
          <w:bCs/>
        </w:rPr>
      </w:pPr>
      <w:r w:rsidRPr="00B42463">
        <w:rPr>
          <w:rFonts w:cs="ArialNarrow"/>
          <w:bCs/>
        </w:rPr>
        <w:t>Chlorofil ‘a’.</w:t>
      </w:r>
    </w:p>
    <w:p w14:paraId="568741DE" w14:textId="77777777" w:rsidR="00CB789E" w:rsidRDefault="00CB789E" w:rsidP="00CB789E">
      <w:pPr>
        <w:spacing w:before="240"/>
        <w:jc w:val="both"/>
      </w:pPr>
      <w:r>
        <w:t xml:space="preserve">Wykorzystano ocenę eutrofizacji 2016-2019 wykonaną przez GIOŚ, ze względu na potrzebę odniesienia wyników dla 2020 r. do obowiązującej oceny eutrofizacji wód w Polsce. Należy nadmienić, że analiza eutrofizacji wód powierzchniowych w 2020 r. na podstawie zaoferowanych przez Wykonawcę wybranych wskaźników jakości wód nie uwzględnia wszystkich wskaźników analizowanych w ocenie eutrofizacji w okresie 2016-2019, dlatego uzyskane wyniki porównań stopnia nasilenia przedmiotowego zjawiska należy traktować jako przybliżone. </w:t>
      </w:r>
    </w:p>
    <w:p w14:paraId="1DF6D1F8" w14:textId="77777777" w:rsidR="00CB789E" w:rsidRDefault="00CB789E" w:rsidP="00CB789E">
      <w:pPr>
        <w:spacing w:before="240"/>
        <w:jc w:val="both"/>
      </w:pPr>
      <w:r w:rsidRPr="00700D54">
        <w:t xml:space="preserve">Zastosowana </w:t>
      </w:r>
      <w:r>
        <w:t>została</w:t>
      </w:r>
      <w:r w:rsidRPr="00700D54">
        <w:t xml:space="preserve"> również częściowo metodyka analizy stanu troficznego wód powierzchniowych</w:t>
      </w:r>
      <w:r>
        <w:t>,</w:t>
      </w:r>
      <w:r w:rsidRPr="00700D54">
        <w:t xml:space="preserve"> przyjęta do analiz w Sprawozdaniu z realizacji dyrektywy 91/676/EWG w latach 2016-2020</w:t>
      </w:r>
      <w:r>
        <w:rPr>
          <w:rStyle w:val="Odwoanieprzypisudolnego"/>
        </w:rPr>
        <w:footnoteReference w:id="11"/>
      </w:r>
      <w:r w:rsidRPr="00700D54">
        <w:t xml:space="preserve">, </w:t>
      </w:r>
      <w:r>
        <w:t xml:space="preserve">polegająca na odniesieniu </w:t>
      </w:r>
      <w:r w:rsidRPr="00700D54">
        <w:t>średni</w:t>
      </w:r>
      <w:r>
        <w:t>ch</w:t>
      </w:r>
      <w:r w:rsidRPr="00700D54">
        <w:t xml:space="preserve"> roczn</w:t>
      </w:r>
      <w:r>
        <w:t>ych</w:t>
      </w:r>
      <w:r w:rsidRPr="00700D54">
        <w:t xml:space="preserve"> wartości wskaźników (w 2020 r.) do wartości granicznych dla klas jakości w wodach powierzchniowych, a w oparciu o najgorzej sklasyfikowany wskaźnik</w:t>
      </w:r>
      <w:r>
        <w:t xml:space="preserve">, dokonano </w:t>
      </w:r>
      <w:r w:rsidRPr="00700D54">
        <w:t>określ</w:t>
      </w:r>
      <w:r>
        <w:t>enia</w:t>
      </w:r>
      <w:r w:rsidRPr="00700D54">
        <w:t xml:space="preserve"> klas</w:t>
      </w:r>
      <w:r>
        <w:t>y</w:t>
      </w:r>
      <w:r w:rsidRPr="00700D54">
        <w:t xml:space="preserve"> eutrofizacji, zgodnie z wzorcem</w:t>
      </w:r>
      <w:r>
        <w:t xml:space="preserve"> przedstawionym w poniższej tabeli. </w:t>
      </w:r>
    </w:p>
    <w:p w14:paraId="20E1D549" w14:textId="6C2FD210" w:rsidR="00CB789E" w:rsidRPr="00D33E9F" w:rsidRDefault="00CB789E" w:rsidP="00CB789E">
      <w:pPr>
        <w:pStyle w:val="Legenda"/>
        <w:spacing w:before="120" w:after="0" w:line="259" w:lineRule="auto"/>
        <w:jc w:val="both"/>
        <w:rPr>
          <w:i w:val="0"/>
          <w:iCs w:val="0"/>
          <w:color w:val="2F5496" w:themeColor="accent1" w:themeShade="BF"/>
          <w:sz w:val="20"/>
          <w:szCs w:val="20"/>
        </w:rPr>
      </w:pPr>
      <w:r w:rsidRPr="00D33E9F">
        <w:rPr>
          <w:i w:val="0"/>
          <w:iCs w:val="0"/>
          <w:color w:val="2F5496" w:themeColor="accent1" w:themeShade="BF"/>
          <w:sz w:val="20"/>
          <w:szCs w:val="20"/>
        </w:rPr>
        <w:t xml:space="preserve">Tabela </w:t>
      </w:r>
      <w:r w:rsidR="00F73EAB">
        <w:rPr>
          <w:i w:val="0"/>
          <w:iCs w:val="0"/>
          <w:color w:val="2F5496" w:themeColor="accent1" w:themeShade="BF"/>
          <w:sz w:val="20"/>
          <w:szCs w:val="20"/>
        </w:rPr>
        <w:t>9.</w:t>
      </w:r>
      <w:r w:rsidRPr="00D33E9F">
        <w:rPr>
          <w:i w:val="0"/>
          <w:iCs w:val="0"/>
          <w:color w:val="2F5496" w:themeColor="accent1" w:themeShade="BF"/>
          <w:sz w:val="20"/>
          <w:szCs w:val="20"/>
        </w:rPr>
        <w:t xml:space="preserve"> </w:t>
      </w:r>
      <w:r w:rsidRPr="001B6C37">
        <w:rPr>
          <w:i w:val="0"/>
          <w:iCs w:val="0"/>
          <w:color w:val="2F5496" w:themeColor="accent1" w:themeShade="BF"/>
          <w:sz w:val="20"/>
          <w:szCs w:val="20"/>
        </w:rPr>
        <w:t>Przypisanie klasom wskaźników eutrofizacji odpowiednich klas jakości stanu troficznego</w:t>
      </w:r>
    </w:p>
    <w:tbl>
      <w:tblPr>
        <w:tblStyle w:val="Tabela-Siatka"/>
        <w:tblW w:w="5000" w:type="pct"/>
        <w:tblLook w:val="04A0" w:firstRow="1" w:lastRow="0" w:firstColumn="1" w:lastColumn="0" w:noHBand="0" w:noVBand="1"/>
      </w:tblPr>
      <w:tblGrid>
        <w:gridCol w:w="3351"/>
        <w:gridCol w:w="5711"/>
      </w:tblGrid>
      <w:tr w:rsidR="00CB789E" w:rsidRPr="00E70F65" w14:paraId="06CF0D73" w14:textId="77777777" w:rsidTr="00C24687">
        <w:trPr>
          <w:cantSplit/>
          <w:trHeight w:hRule="exact" w:val="709"/>
        </w:trPr>
        <w:tc>
          <w:tcPr>
            <w:tcW w:w="1849" w:type="pct"/>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2C02238" w14:textId="77777777" w:rsidR="00CB789E" w:rsidRPr="00345AE1" w:rsidRDefault="00CB789E" w:rsidP="00C24687">
            <w:pPr>
              <w:spacing w:beforeLines="120" w:before="288" w:line="276" w:lineRule="auto"/>
              <w:contextualSpacing/>
              <w:jc w:val="center"/>
              <w:rPr>
                <w:rFonts w:cstheme="minorHAnsi"/>
                <w:b/>
                <w:bCs/>
                <w:color w:val="FFFFFF" w:themeColor="background1"/>
                <w:sz w:val="20"/>
                <w:szCs w:val="20"/>
              </w:rPr>
            </w:pPr>
            <w:r w:rsidRPr="00345AE1">
              <w:rPr>
                <w:rFonts w:cstheme="minorHAnsi"/>
                <w:b/>
                <w:bCs/>
                <w:color w:val="FFFFFF" w:themeColor="background1"/>
                <w:sz w:val="20"/>
                <w:szCs w:val="20"/>
              </w:rPr>
              <w:t>Klasa wskaźników eutrofizacji</w:t>
            </w:r>
          </w:p>
        </w:tc>
        <w:tc>
          <w:tcPr>
            <w:tcW w:w="3151"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6FED89DE" w14:textId="77777777" w:rsidR="00CB789E" w:rsidRPr="00345AE1" w:rsidRDefault="00CB789E" w:rsidP="00C24687">
            <w:pPr>
              <w:spacing w:beforeLines="120" w:before="288" w:line="276" w:lineRule="auto"/>
              <w:contextualSpacing/>
              <w:jc w:val="center"/>
              <w:rPr>
                <w:rFonts w:cstheme="minorHAnsi"/>
                <w:b/>
                <w:bCs/>
                <w:color w:val="FFFFFF" w:themeColor="background1"/>
                <w:sz w:val="20"/>
                <w:szCs w:val="20"/>
              </w:rPr>
            </w:pPr>
            <w:r w:rsidRPr="00345AE1">
              <w:rPr>
                <w:rFonts w:cstheme="minorHAnsi"/>
                <w:b/>
                <w:bCs/>
                <w:color w:val="FFFFFF" w:themeColor="background1"/>
                <w:sz w:val="20"/>
                <w:szCs w:val="20"/>
              </w:rPr>
              <w:t>Klasa jakości stanu troficznego</w:t>
            </w:r>
          </w:p>
        </w:tc>
      </w:tr>
      <w:tr w:rsidR="00CB789E" w:rsidRPr="00E70F65" w14:paraId="1B2E307C" w14:textId="77777777" w:rsidTr="00C24687">
        <w:trPr>
          <w:cantSplit/>
          <w:trHeight w:hRule="exact" w:val="454"/>
        </w:trPr>
        <w:tc>
          <w:tcPr>
            <w:tcW w:w="1849" w:type="pct"/>
            <w:tcBorders>
              <w:top w:val="single" w:sz="4" w:space="0" w:color="auto"/>
              <w:left w:val="single" w:sz="4" w:space="0" w:color="auto"/>
              <w:bottom w:val="single" w:sz="4" w:space="0" w:color="auto"/>
              <w:right w:val="single" w:sz="4" w:space="0" w:color="auto"/>
            </w:tcBorders>
            <w:vAlign w:val="center"/>
            <w:hideMark/>
          </w:tcPr>
          <w:p w14:paraId="5043BBBC"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1</w:t>
            </w:r>
            <w:r>
              <w:rPr>
                <w:rFonts w:cstheme="minorHAnsi"/>
                <w:sz w:val="20"/>
                <w:szCs w:val="20"/>
              </w:rPr>
              <w:t>, 2</w:t>
            </w:r>
          </w:p>
        </w:tc>
        <w:tc>
          <w:tcPr>
            <w:tcW w:w="3151" w:type="pct"/>
            <w:tcBorders>
              <w:top w:val="single" w:sz="4" w:space="0" w:color="auto"/>
              <w:left w:val="single" w:sz="4" w:space="0" w:color="auto"/>
              <w:bottom w:val="single" w:sz="4" w:space="0" w:color="auto"/>
              <w:right w:val="single" w:sz="4" w:space="0" w:color="auto"/>
            </w:tcBorders>
            <w:vAlign w:val="center"/>
            <w:hideMark/>
          </w:tcPr>
          <w:p w14:paraId="5185F5A9"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Nieeutroficzne</w:t>
            </w:r>
          </w:p>
        </w:tc>
      </w:tr>
      <w:tr w:rsidR="00CB789E" w:rsidRPr="00E70F65" w14:paraId="409868DB" w14:textId="77777777" w:rsidTr="00C24687">
        <w:trPr>
          <w:cantSplit/>
          <w:trHeight w:val="454"/>
        </w:trPr>
        <w:tc>
          <w:tcPr>
            <w:tcW w:w="1849" w:type="pct"/>
            <w:tcBorders>
              <w:top w:val="single" w:sz="4" w:space="0" w:color="auto"/>
              <w:left w:val="single" w:sz="4" w:space="0" w:color="auto"/>
              <w:bottom w:val="single" w:sz="4" w:space="0" w:color="auto"/>
              <w:right w:val="single" w:sz="4" w:space="0" w:color="auto"/>
            </w:tcBorders>
            <w:vAlign w:val="center"/>
            <w:hideMark/>
          </w:tcPr>
          <w:p w14:paraId="5606C197" w14:textId="77777777" w:rsidR="00CB789E" w:rsidRPr="00E70F65" w:rsidRDefault="00CB789E" w:rsidP="00C24687">
            <w:pPr>
              <w:spacing w:line="276" w:lineRule="auto"/>
              <w:jc w:val="center"/>
              <w:rPr>
                <w:rFonts w:cstheme="minorHAnsi"/>
                <w:sz w:val="20"/>
                <w:szCs w:val="20"/>
              </w:rPr>
            </w:pPr>
            <w:r>
              <w:rPr>
                <w:rFonts w:cstheme="minorHAnsi"/>
                <w:sz w:val="20"/>
                <w:szCs w:val="20"/>
              </w:rPr>
              <w:t>3, 4, 5</w:t>
            </w:r>
          </w:p>
        </w:tc>
        <w:tc>
          <w:tcPr>
            <w:tcW w:w="3151" w:type="pct"/>
            <w:tcBorders>
              <w:top w:val="single" w:sz="4" w:space="0" w:color="auto"/>
              <w:left w:val="single" w:sz="4" w:space="0" w:color="auto"/>
              <w:bottom w:val="single" w:sz="4" w:space="0" w:color="auto"/>
              <w:right w:val="single" w:sz="4" w:space="0" w:color="auto"/>
            </w:tcBorders>
            <w:vAlign w:val="center"/>
            <w:hideMark/>
          </w:tcPr>
          <w:p w14:paraId="5C3D8EB4"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Eutroficzne</w:t>
            </w:r>
          </w:p>
        </w:tc>
      </w:tr>
    </w:tbl>
    <w:p w14:paraId="31FB6EC1" w14:textId="77777777" w:rsidR="00CB789E" w:rsidRPr="00DC5622" w:rsidRDefault="00CB789E" w:rsidP="00CB789E">
      <w:pPr>
        <w:rPr>
          <w:sz w:val="20"/>
          <w:szCs w:val="20"/>
        </w:rPr>
      </w:pPr>
      <w:r w:rsidRPr="00DC5622">
        <w:rPr>
          <w:sz w:val="20"/>
          <w:szCs w:val="20"/>
        </w:rPr>
        <w:t xml:space="preserve">Źródło: </w:t>
      </w:r>
      <w:r w:rsidRPr="001B6C37">
        <w:rPr>
          <w:sz w:val="20"/>
          <w:szCs w:val="20"/>
        </w:rPr>
        <w:t>Sprawozdanie z realizacji dyrektywy 91/676/EWG (azotanowej) w latach 2016-2020</w:t>
      </w:r>
      <w:r>
        <w:rPr>
          <w:sz w:val="20"/>
          <w:szCs w:val="20"/>
        </w:rPr>
        <w:t>,</w:t>
      </w:r>
      <w:r w:rsidRPr="001B6C37">
        <w:t xml:space="preserve"> </w:t>
      </w:r>
      <w:proofErr w:type="spellStart"/>
      <w:r w:rsidRPr="001B6C37">
        <w:rPr>
          <w:sz w:val="20"/>
          <w:szCs w:val="20"/>
        </w:rPr>
        <w:t>MGMiŻŚ</w:t>
      </w:r>
      <w:proofErr w:type="spellEnd"/>
      <w:r w:rsidRPr="001B6C37">
        <w:rPr>
          <w:sz w:val="20"/>
          <w:szCs w:val="20"/>
        </w:rPr>
        <w:t xml:space="preserve">, </w:t>
      </w:r>
      <w:r>
        <w:rPr>
          <w:sz w:val="20"/>
          <w:szCs w:val="20"/>
        </w:rPr>
        <w:t xml:space="preserve">Wrocław </w:t>
      </w:r>
      <w:r w:rsidRPr="001B6C37">
        <w:rPr>
          <w:sz w:val="20"/>
          <w:szCs w:val="20"/>
        </w:rPr>
        <w:t>2020 r.</w:t>
      </w:r>
      <w:r>
        <w:rPr>
          <w:sz w:val="20"/>
          <w:szCs w:val="20"/>
        </w:rPr>
        <w:t>, z uwzględnieniem zmian Wykonawcy</w:t>
      </w:r>
    </w:p>
    <w:p w14:paraId="15D4A9BF" w14:textId="77777777" w:rsidR="00CB789E" w:rsidRDefault="00CB789E" w:rsidP="00CB789E">
      <w:pPr>
        <w:spacing w:before="240"/>
        <w:jc w:val="both"/>
      </w:pPr>
      <w:r>
        <w:t>Zmieniono nieznacznie zastosowaną klasyfikację względem opracowania źródłowego, ze względu na  fakt, iż metoda zastosowana w Sprawozdaniu była realizowana dla określenia tendencji zmian</w:t>
      </w:r>
      <w:r w:rsidRPr="00D3667B">
        <w:t xml:space="preserve"> pomiędzy </w:t>
      </w:r>
      <w:r>
        <w:t>dwoma wieloletnimi</w:t>
      </w:r>
      <w:r w:rsidRPr="00D3667B">
        <w:t xml:space="preserve"> okres</w:t>
      </w:r>
      <w:r>
        <w:t>ami</w:t>
      </w:r>
      <w:r w:rsidRPr="00D3667B">
        <w:t xml:space="preserve"> raportowania</w:t>
      </w:r>
      <w:r>
        <w:t xml:space="preserve"> dyrektywy 91/676/EWG i była uwarunkowana odmiennym sposobem określenia stanu troficznego wód powierzchniowych w tych okresach</w:t>
      </w:r>
      <w:r w:rsidRPr="00D3667B">
        <w:t xml:space="preserve">. </w:t>
      </w:r>
      <w:r>
        <w:t xml:space="preserve">Tym </w:t>
      </w:r>
      <w:r>
        <w:lastRenderedPageBreak/>
        <w:t>samym zrezygnowano z określania k</w:t>
      </w:r>
      <w:r w:rsidRPr="00EE2447">
        <w:t>las</w:t>
      </w:r>
      <w:r>
        <w:t>y</w:t>
      </w:r>
      <w:r w:rsidRPr="00EE2447">
        <w:t xml:space="preserve"> jakości stanu troficznego</w:t>
      </w:r>
      <w:r>
        <w:t>, określanej jako: wody m</w:t>
      </w:r>
      <w:r w:rsidRPr="00EE2447">
        <w:t>ogą stać się eutroficzne</w:t>
      </w:r>
      <w:r>
        <w:t>. Za przyjętym rozwiązaniem przemawia również szacunkowy charakter wykonanych analiz.</w:t>
      </w:r>
    </w:p>
    <w:p w14:paraId="1A80D0BE" w14:textId="77777777" w:rsidR="00CB789E" w:rsidRDefault="00CB789E" w:rsidP="00CB789E">
      <w:pPr>
        <w:spacing w:before="240"/>
        <w:jc w:val="both"/>
      </w:pPr>
      <w:r>
        <w:t>Niemniej jednak, dla zachowania zgodności dokonywanej oceny eutrofizacji dla 2020 r. z analizą dla okresu 2016-2019, bazowano na wartościach granicznych stężeń poszczególnych wskaźników jakości wód (wartości graniczne między klasami oceny stanu wód) z Rozporządzenia</w:t>
      </w:r>
      <w:r w:rsidRPr="00D67496">
        <w:t xml:space="preserve"> Ministra Gospodarki Morskiej i Żeglugi Śródlądowej z dnia 11 października 2019 r.</w:t>
      </w:r>
      <w:r>
        <w:rPr>
          <w:rStyle w:val="Odwoanieprzypisudolnego"/>
        </w:rPr>
        <w:footnoteReference w:id="12"/>
      </w:r>
      <w:r>
        <w:t>, mimo zastąpienia w momencie prowadzenia analiz przedmiotowego aktu Rozporządzeniem Ministra Infrastruktury z dnia 25 czerwca 2021 r</w:t>
      </w:r>
      <w:r>
        <w:rPr>
          <w:rStyle w:val="Odwoanieprzypisudolnego"/>
        </w:rPr>
        <w:footnoteReference w:id="13"/>
      </w:r>
      <w:r>
        <w:t>.</w:t>
      </w:r>
    </w:p>
    <w:p w14:paraId="5AD4C005" w14:textId="77777777" w:rsidR="00CB789E" w:rsidRPr="00E70F65" w:rsidRDefault="00CB789E" w:rsidP="00CB789E">
      <w:pPr>
        <w:spacing w:beforeLines="120" w:before="288" w:afterLines="120" w:after="288" w:line="276" w:lineRule="auto"/>
        <w:jc w:val="both"/>
        <w:rPr>
          <w:rFonts w:cstheme="minorHAnsi"/>
        </w:rPr>
      </w:pPr>
      <w:r w:rsidRPr="00E70F65">
        <w:rPr>
          <w:rFonts w:cstheme="minorHAnsi"/>
        </w:rPr>
        <w:t>Kolejno określenie stanu troficznego w 2020 r. zosta</w:t>
      </w:r>
      <w:r>
        <w:rPr>
          <w:rFonts w:cstheme="minorHAnsi"/>
        </w:rPr>
        <w:t>ło</w:t>
      </w:r>
      <w:r w:rsidRPr="00E70F65">
        <w:rPr>
          <w:rFonts w:cstheme="minorHAnsi"/>
        </w:rPr>
        <w:t xml:space="preserve"> porównane do stanu troficznego w okresie </w:t>
      </w:r>
      <w:r>
        <w:rPr>
          <w:rFonts w:cstheme="minorHAnsi"/>
        </w:rPr>
        <w:t>2016-2019</w:t>
      </w:r>
      <w:r w:rsidRPr="00E70F65">
        <w:rPr>
          <w:rFonts w:cstheme="minorHAnsi"/>
        </w:rPr>
        <w:t>, z zastosowaniem metody określania tendencji zmian stanu troficznego, zgodnie z poniższą tabelą</w:t>
      </w:r>
      <w:r>
        <w:rPr>
          <w:rFonts w:cstheme="minorHAnsi"/>
        </w:rPr>
        <w:t xml:space="preserve">, przyjętą za metodą zastosowaną w </w:t>
      </w:r>
      <w:r w:rsidRPr="00493B32">
        <w:rPr>
          <w:rFonts w:cstheme="minorHAnsi"/>
        </w:rPr>
        <w:t>Sprawozdaniu z realizacji dyrektywy 91/676/EWG w latach 2016-2020</w:t>
      </w:r>
      <w:r>
        <w:rPr>
          <w:rFonts w:cstheme="minorHAnsi"/>
        </w:rPr>
        <w:t xml:space="preserve">. W przyjętej metodzie wprowadzono zmiany wynikające z potrzeby wydzielenia dodatkowej kategorii określającej tendencje eutrofizacji- wzrost. Wynika to z faktu występowania przypadków braku możliwości określenia zmiany liczby klas między wynikami dla okresu 2016-2019, </w:t>
      </w:r>
      <w:r>
        <w:rPr>
          <w:rFonts w:cstheme="minorHAnsi"/>
        </w:rPr>
        <w:br/>
        <w:t xml:space="preserve">a 2020 r., gdy wynik stężenia analizowanego wskaźnika odpowiadał klasie jakości wód powyżej klasy II (gdy dla danej kategorii lub dla danego typu wód powierzchniowych nie określa się klas III, IV, V). Podobne sytuacje występowały w przypadkach gdy najgorzej sklasyfikowany wskaźnik w okresie 2016-2019 był w klasie III, a w 2020 r. ocena dla innego wskaźnika została określona jako powyżej klasy II. </w:t>
      </w:r>
      <w:r>
        <w:rPr>
          <w:rFonts w:cstheme="minorHAnsi"/>
        </w:rPr>
        <w:br/>
        <w:t>W takich przypadkach tendencje określano jako stabilizację.</w:t>
      </w:r>
    </w:p>
    <w:p w14:paraId="2ED76618" w14:textId="6DA7D294" w:rsidR="00CB789E" w:rsidRPr="003954B6" w:rsidRDefault="00CB789E" w:rsidP="00CB789E">
      <w:pPr>
        <w:pStyle w:val="Legenda"/>
        <w:keepNext/>
        <w:spacing w:after="120"/>
        <w:rPr>
          <w:rFonts w:cstheme="minorHAnsi"/>
          <w:i w:val="0"/>
          <w:iCs w:val="0"/>
          <w:color w:val="2F5496" w:themeColor="accent1" w:themeShade="BF"/>
          <w:sz w:val="20"/>
          <w:szCs w:val="20"/>
        </w:rPr>
      </w:pPr>
      <w:r w:rsidRPr="003954B6">
        <w:rPr>
          <w:rFonts w:cstheme="minorHAnsi"/>
          <w:i w:val="0"/>
          <w:iCs w:val="0"/>
          <w:color w:val="2F5496" w:themeColor="accent1" w:themeShade="BF"/>
          <w:sz w:val="20"/>
          <w:szCs w:val="20"/>
        </w:rPr>
        <w:t xml:space="preserve">Tabela </w:t>
      </w:r>
      <w:r w:rsidR="0013592A">
        <w:rPr>
          <w:rFonts w:cstheme="minorHAnsi"/>
          <w:i w:val="0"/>
          <w:iCs w:val="0"/>
          <w:color w:val="2F5496" w:themeColor="accent1" w:themeShade="BF"/>
          <w:sz w:val="20"/>
          <w:szCs w:val="20"/>
        </w:rPr>
        <w:t>10.</w:t>
      </w:r>
      <w:r w:rsidRPr="003954B6">
        <w:rPr>
          <w:rFonts w:cstheme="minorHAnsi"/>
          <w:i w:val="0"/>
          <w:iCs w:val="0"/>
          <w:color w:val="2F5496" w:themeColor="accent1" w:themeShade="BF"/>
          <w:sz w:val="20"/>
          <w:szCs w:val="20"/>
        </w:rPr>
        <w:t xml:space="preserve"> Założenia w zakresie określania tendencji do zmian stanu troficznego</w:t>
      </w:r>
    </w:p>
    <w:tbl>
      <w:tblPr>
        <w:tblStyle w:val="Tabela-Siatka"/>
        <w:tblW w:w="5000" w:type="pct"/>
        <w:tblLook w:val="04A0" w:firstRow="1" w:lastRow="0" w:firstColumn="1" w:lastColumn="0" w:noHBand="0" w:noVBand="1"/>
      </w:tblPr>
      <w:tblGrid>
        <w:gridCol w:w="3659"/>
        <w:gridCol w:w="5403"/>
      </w:tblGrid>
      <w:tr w:rsidR="00CB789E" w:rsidRPr="003954B6" w14:paraId="67613D8A" w14:textId="77777777" w:rsidTr="0013592A">
        <w:trPr>
          <w:cantSplit/>
          <w:trHeight w:hRule="exact" w:val="821"/>
          <w:tblHeader/>
        </w:trPr>
        <w:tc>
          <w:tcPr>
            <w:tcW w:w="2019" w:type="pct"/>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8747E3D" w14:textId="77777777" w:rsidR="00CB789E" w:rsidRPr="003954B6" w:rsidRDefault="00CB789E" w:rsidP="00C24687">
            <w:pPr>
              <w:spacing w:beforeLines="120" w:before="288" w:line="276" w:lineRule="auto"/>
              <w:contextualSpacing/>
              <w:jc w:val="center"/>
              <w:rPr>
                <w:rFonts w:cstheme="minorHAnsi"/>
                <w:color w:val="FFFFFF" w:themeColor="background1"/>
                <w:sz w:val="20"/>
                <w:szCs w:val="20"/>
              </w:rPr>
            </w:pPr>
            <w:r w:rsidRPr="003954B6">
              <w:rPr>
                <w:rFonts w:cstheme="minorHAnsi"/>
                <w:b/>
                <w:bCs/>
                <w:color w:val="FFFFFF" w:themeColor="background1"/>
                <w:sz w:val="20"/>
                <w:szCs w:val="20"/>
              </w:rPr>
              <w:t>Eutrofizacja – tendencja</w:t>
            </w:r>
          </w:p>
        </w:tc>
        <w:tc>
          <w:tcPr>
            <w:tcW w:w="2981"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481BA3A1" w14:textId="77777777" w:rsidR="00CB789E" w:rsidRPr="003954B6" w:rsidRDefault="00CB789E" w:rsidP="00C24687">
            <w:pPr>
              <w:spacing w:beforeLines="120" w:before="288" w:line="276" w:lineRule="auto"/>
              <w:contextualSpacing/>
              <w:jc w:val="center"/>
              <w:rPr>
                <w:rFonts w:cstheme="minorHAnsi"/>
                <w:color w:val="FFFFFF" w:themeColor="background1"/>
                <w:sz w:val="20"/>
                <w:szCs w:val="20"/>
              </w:rPr>
            </w:pPr>
            <w:r w:rsidRPr="003954B6">
              <w:rPr>
                <w:rFonts w:cstheme="minorHAnsi"/>
                <w:b/>
                <w:bCs/>
                <w:color w:val="FFFFFF" w:themeColor="background1"/>
                <w:sz w:val="20"/>
                <w:szCs w:val="20"/>
              </w:rPr>
              <w:t xml:space="preserve">Reguła </w:t>
            </w:r>
          </w:p>
        </w:tc>
      </w:tr>
      <w:tr w:rsidR="00CB789E" w:rsidRPr="00E70F65" w14:paraId="7B6FE34A" w14:textId="77777777" w:rsidTr="00C24687">
        <w:trPr>
          <w:cantSplit/>
          <w:trHeight w:hRule="exact" w:val="567"/>
        </w:trPr>
        <w:tc>
          <w:tcPr>
            <w:tcW w:w="2019" w:type="pct"/>
            <w:tcBorders>
              <w:top w:val="single" w:sz="4" w:space="0" w:color="auto"/>
              <w:left w:val="single" w:sz="4" w:space="0" w:color="auto"/>
              <w:bottom w:val="single" w:sz="4" w:space="0" w:color="auto"/>
              <w:right w:val="single" w:sz="4" w:space="0" w:color="auto"/>
            </w:tcBorders>
            <w:vAlign w:val="center"/>
            <w:hideMark/>
          </w:tcPr>
          <w:p w14:paraId="1882C01C"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silny wzrost</w:t>
            </w:r>
          </w:p>
        </w:tc>
        <w:tc>
          <w:tcPr>
            <w:tcW w:w="2981" w:type="pct"/>
            <w:tcBorders>
              <w:top w:val="single" w:sz="4" w:space="0" w:color="auto"/>
              <w:left w:val="single" w:sz="4" w:space="0" w:color="auto"/>
              <w:bottom w:val="single" w:sz="4" w:space="0" w:color="auto"/>
              <w:right w:val="single" w:sz="4" w:space="0" w:color="auto"/>
            </w:tcBorders>
            <w:vAlign w:val="center"/>
            <w:hideMark/>
          </w:tcPr>
          <w:p w14:paraId="6B10B801"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pogorszenie stanu o więcej niż jedną klasę</w:t>
            </w:r>
          </w:p>
        </w:tc>
      </w:tr>
      <w:tr w:rsidR="00CB789E" w:rsidRPr="00E70F65" w14:paraId="1988BC64" w14:textId="77777777" w:rsidTr="00C24687">
        <w:trPr>
          <w:cantSplit/>
          <w:trHeight w:hRule="exact" w:val="567"/>
        </w:trPr>
        <w:tc>
          <w:tcPr>
            <w:tcW w:w="2019" w:type="pct"/>
            <w:tcBorders>
              <w:top w:val="single" w:sz="4" w:space="0" w:color="auto"/>
              <w:left w:val="single" w:sz="4" w:space="0" w:color="auto"/>
              <w:bottom w:val="single" w:sz="4" w:space="0" w:color="auto"/>
              <w:right w:val="single" w:sz="4" w:space="0" w:color="auto"/>
            </w:tcBorders>
            <w:vAlign w:val="center"/>
            <w:hideMark/>
          </w:tcPr>
          <w:p w14:paraId="0E6F8180"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niewielki wzrost</w:t>
            </w:r>
          </w:p>
        </w:tc>
        <w:tc>
          <w:tcPr>
            <w:tcW w:w="2981" w:type="pct"/>
            <w:tcBorders>
              <w:top w:val="single" w:sz="4" w:space="0" w:color="auto"/>
              <w:left w:val="single" w:sz="4" w:space="0" w:color="auto"/>
              <w:bottom w:val="single" w:sz="4" w:space="0" w:color="auto"/>
              <w:right w:val="single" w:sz="4" w:space="0" w:color="auto"/>
            </w:tcBorders>
            <w:vAlign w:val="center"/>
            <w:hideMark/>
          </w:tcPr>
          <w:p w14:paraId="66C7C977"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pogorszenie stanu o jedną klasę</w:t>
            </w:r>
          </w:p>
        </w:tc>
      </w:tr>
      <w:tr w:rsidR="00CB789E" w:rsidRPr="00E70F65" w14:paraId="53739675" w14:textId="77777777" w:rsidTr="00C24687">
        <w:trPr>
          <w:cantSplit/>
          <w:trHeight w:hRule="exact" w:val="567"/>
        </w:trPr>
        <w:tc>
          <w:tcPr>
            <w:tcW w:w="2019" w:type="pct"/>
            <w:tcBorders>
              <w:top w:val="single" w:sz="4" w:space="0" w:color="auto"/>
              <w:left w:val="single" w:sz="4" w:space="0" w:color="auto"/>
              <w:bottom w:val="single" w:sz="4" w:space="0" w:color="auto"/>
              <w:right w:val="single" w:sz="4" w:space="0" w:color="auto"/>
            </w:tcBorders>
            <w:vAlign w:val="center"/>
          </w:tcPr>
          <w:p w14:paraId="2DAFF9DB"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wzrost</w:t>
            </w:r>
          </w:p>
        </w:tc>
        <w:tc>
          <w:tcPr>
            <w:tcW w:w="2981" w:type="pct"/>
            <w:tcBorders>
              <w:top w:val="single" w:sz="4" w:space="0" w:color="auto"/>
              <w:left w:val="single" w:sz="4" w:space="0" w:color="auto"/>
              <w:bottom w:val="single" w:sz="4" w:space="0" w:color="auto"/>
              <w:right w:val="single" w:sz="4" w:space="0" w:color="auto"/>
            </w:tcBorders>
            <w:vAlign w:val="center"/>
          </w:tcPr>
          <w:p w14:paraId="531122DF"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pogorszenie stanu (brak możliwości określenia liczby klas)</w:t>
            </w:r>
          </w:p>
        </w:tc>
      </w:tr>
      <w:tr w:rsidR="00CB789E" w:rsidRPr="00E70F65" w14:paraId="7FD48F25" w14:textId="77777777" w:rsidTr="00C24687">
        <w:trPr>
          <w:cantSplit/>
          <w:trHeight w:hRule="exact" w:val="567"/>
        </w:trPr>
        <w:tc>
          <w:tcPr>
            <w:tcW w:w="2019" w:type="pct"/>
            <w:tcBorders>
              <w:top w:val="single" w:sz="4" w:space="0" w:color="auto"/>
              <w:left w:val="single" w:sz="4" w:space="0" w:color="auto"/>
              <w:bottom w:val="single" w:sz="4" w:space="0" w:color="auto"/>
              <w:right w:val="single" w:sz="4" w:space="0" w:color="auto"/>
            </w:tcBorders>
            <w:vAlign w:val="center"/>
            <w:hideMark/>
          </w:tcPr>
          <w:p w14:paraId="145FF15B"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stabilizacja</w:t>
            </w:r>
          </w:p>
        </w:tc>
        <w:tc>
          <w:tcPr>
            <w:tcW w:w="2981" w:type="pct"/>
            <w:tcBorders>
              <w:top w:val="single" w:sz="4" w:space="0" w:color="auto"/>
              <w:left w:val="single" w:sz="4" w:space="0" w:color="auto"/>
              <w:bottom w:val="single" w:sz="4" w:space="0" w:color="auto"/>
              <w:right w:val="single" w:sz="4" w:space="0" w:color="auto"/>
            </w:tcBorders>
            <w:vAlign w:val="center"/>
            <w:hideMark/>
          </w:tcPr>
          <w:p w14:paraId="3FBAE449"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bez zmian</w:t>
            </w:r>
          </w:p>
        </w:tc>
      </w:tr>
      <w:tr w:rsidR="00CB789E" w:rsidRPr="00E70F65" w14:paraId="295F7A1C" w14:textId="77777777" w:rsidTr="00C24687">
        <w:trPr>
          <w:cantSplit/>
          <w:trHeight w:hRule="exact" w:val="567"/>
        </w:trPr>
        <w:tc>
          <w:tcPr>
            <w:tcW w:w="2019" w:type="pct"/>
            <w:tcBorders>
              <w:top w:val="single" w:sz="4" w:space="0" w:color="auto"/>
              <w:left w:val="single" w:sz="4" w:space="0" w:color="auto"/>
              <w:bottom w:val="single" w:sz="4" w:space="0" w:color="auto"/>
              <w:right w:val="single" w:sz="4" w:space="0" w:color="auto"/>
            </w:tcBorders>
            <w:vAlign w:val="center"/>
            <w:hideMark/>
          </w:tcPr>
          <w:p w14:paraId="18847B59"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niewielki spadek</w:t>
            </w:r>
          </w:p>
        </w:tc>
        <w:tc>
          <w:tcPr>
            <w:tcW w:w="2981" w:type="pct"/>
            <w:tcBorders>
              <w:top w:val="single" w:sz="4" w:space="0" w:color="auto"/>
              <w:left w:val="single" w:sz="4" w:space="0" w:color="auto"/>
              <w:bottom w:val="single" w:sz="4" w:space="0" w:color="auto"/>
              <w:right w:val="single" w:sz="4" w:space="0" w:color="auto"/>
            </w:tcBorders>
            <w:vAlign w:val="center"/>
            <w:hideMark/>
          </w:tcPr>
          <w:p w14:paraId="2D7CD761"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polepszenie stanu o jedną klasę</w:t>
            </w:r>
          </w:p>
        </w:tc>
      </w:tr>
      <w:tr w:rsidR="00CB789E" w:rsidRPr="00E70F65" w14:paraId="6B39B73E" w14:textId="77777777" w:rsidTr="00C24687">
        <w:trPr>
          <w:cantSplit/>
          <w:trHeight w:hRule="exact" w:val="567"/>
        </w:trPr>
        <w:tc>
          <w:tcPr>
            <w:tcW w:w="2019" w:type="pct"/>
            <w:tcBorders>
              <w:top w:val="single" w:sz="4" w:space="0" w:color="auto"/>
              <w:left w:val="single" w:sz="4" w:space="0" w:color="auto"/>
              <w:bottom w:val="single" w:sz="4" w:space="0" w:color="auto"/>
              <w:right w:val="single" w:sz="4" w:space="0" w:color="auto"/>
            </w:tcBorders>
            <w:vAlign w:val="center"/>
            <w:hideMark/>
          </w:tcPr>
          <w:p w14:paraId="4EDC3DCB"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lastRenderedPageBreak/>
              <w:t>silny spadek</w:t>
            </w:r>
          </w:p>
        </w:tc>
        <w:tc>
          <w:tcPr>
            <w:tcW w:w="2981" w:type="pct"/>
            <w:tcBorders>
              <w:top w:val="single" w:sz="4" w:space="0" w:color="auto"/>
              <w:left w:val="single" w:sz="4" w:space="0" w:color="auto"/>
              <w:bottom w:val="single" w:sz="4" w:space="0" w:color="auto"/>
              <w:right w:val="single" w:sz="4" w:space="0" w:color="auto"/>
            </w:tcBorders>
            <w:vAlign w:val="center"/>
            <w:hideMark/>
          </w:tcPr>
          <w:p w14:paraId="723B625E" w14:textId="77777777" w:rsidR="00CB789E" w:rsidRPr="00E70F65" w:rsidRDefault="00CB789E" w:rsidP="00C24687">
            <w:pPr>
              <w:spacing w:beforeLines="120" w:before="288" w:line="276" w:lineRule="auto"/>
              <w:contextualSpacing/>
              <w:jc w:val="center"/>
              <w:rPr>
                <w:rFonts w:cstheme="minorHAnsi"/>
                <w:sz w:val="20"/>
                <w:szCs w:val="20"/>
              </w:rPr>
            </w:pPr>
            <w:r w:rsidRPr="00E70F65">
              <w:rPr>
                <w:rFonts w:cstheme="minorHAnsi"/>
                <w:sz w:val="20"/>
                <w:szCs w:val="20"/>
              </w:rPr>
              <w:t>polepszenie stanu o więcej niż jedną klasę</w:t>
            </w:r>
          </w:p>
        </w:tc>
      </w:tr>
    </w:tbl>
    <w:p w14:paraId="2037B28C" w14:textId="77777777" w:rsidR="00CB789E" w:rsidRPr="00DC5622" w:rsidRDefault="00CB789E" w:rsidP="00CB789E">
      <w:pPr>
        <w:rPr>
          <w:sz w:val="20"/>
          <w:szCs w:val="20"/>
        </w:rPr>
      </w:pPr>
      <w:r w:rsidRPr="00DC5622">
        <w:rPr>
          <w:sz w:val="20"/>
          <w:szCs w:val="20"/>
        </w:rPr>
        <w:t xml:space="preserve">Źródło: </w:t>
      </w:r>
      <w:r w:rsidRPr="001B6C37">
        <w:rPr>
          <w:sz w:val="20"/>
          <w:szCs w:val="20"/>
        </w:rPr>
        <w:t>Sprawozdanie z realizacji dyrektywy 91/676/EWG (azotanowej) w latach 2016-2020</w:t>
      </w:r>
      <w:r>
        <w:rPr>
          <w:sz w:val="20"/>
          <w:szCs w:val="20"/>
        </w:rPr>
        <w:t>,</w:t>
      </w:r>
      <w:r w:rsidRPr="001B6C37">
        <w:t xml:space="preserve"> </w:t>
      </w:r>
      <w:proofErr w:type="spellStart"/>
      <w:r w:rsidRPr="001B6C37">
        <w:rPr>
          <w:sz w:val="20"/>
          <w:szCs w:val="20"/>
        </w:rPr>
        <w:t>MGMiŻŚ</w:t>
      </w:r>
      <w:proofErr w:type="spellEnd"/>
      <w:r w:rsidRPr="001B6C37">
        <w:rPr>
          <w:sz w:val="20"/>
          <w:szCs w:val="20"/>
        </w:rPr>
        <w:t xml:space="preserve">, </w:t>
      </w:r>
      <w:r>
        <w:rPr>
          <w:sz w:val="20"/>
          <w:szCs w:val="20"/>
        </w:rPr>
        <w:t xml:space="preserve">Wrocław </w:t>
      </w:r>
      <w:r w:rsidRPr="001B6C37">
        <w:rPr>
          <w:sz w:val="20"/>
          <w:szCs w:val="20"/>
        </w:rPr>
        <w:t>2020 r.</w:t>
      </w:r>
      <w:r>
        <w:rPr>
          <w:sz w:val="20"/>
          <w:szCs w:val="20"/>
        </w:rPr>
        <w:t>, z uwzględnieniem zmian Wykonawcy</w:t>
      </w:r>
    </w:p>
    <w:p w14:paraId="13C9636D" w14:textId="77777777" w:rsidR="00CB789E" w:rsidRPr="003954B6" w:rsidRDefault="00CB789E" w:rsidP="00CB789E">
      <w:pPr>
        <w:spacing w:beforeLines="50" w:before="120" w:afterLines="120" w:after="288" w:line="276" w:lineRule="auto"/>
        <w:jc w:val="both"/>
        <w:rPr>
          <w:rFonts w:cstheme="minorHAnsi"/>
          <w:sz w:val="20"/>
          <w:szCs w:val="20"/>
        </w:rPr>
      </w:pPr>
      <w:r>
        <w:rPr>
          <w:rFonts w:cstheme="minorHAnsi"/>
        </w:rPr>
        <w:t>U</w:t>
      </w:r>
      <w:r w:rsidRPr="00E70F65">
        <w:rPr>
          <w:rFonts w:cstheme="minorHAnsi"/>
        </w:rPr>
        <w:t>zyskane wyniki analiz przedstawion</w:t>
      </w:r>
      <w:r>
        <w:rPr>
          <w:rFonts w:cstheme="minorHAnsi"/>
        </w:rPr>
        <w:t>o</w:t>
      </w:r>
      <w:r w:rsidRPr="00E70F65">
        <w:rPr>
          <w:rFonts w:cstheme="minorHAnsi"/>
        </w:rPr>
        <w:t xml:space="preserve"> na map</w:t>
      </w:r>
      <w:r>
        <w:rPr>
          <w:rFonts w:cstheme="minorHAnsi"/>
        </w:rPr>
        <w:t xml:space="preserve">ach obrazujących zmienność analizowanego zjawiska w skali </w:t>
      </w:r>
      <w:proofErr w:type="spellStart"/>
      <w:r>
        <w:rPr>
          <w:rFonts w:cstheme="minorHAnsi"/>
        </w:rPr>
        <w:t>kraj,u</w:t>
      </w:r>
      <w:proofErr w:type="spellEnd"/>
      <w:r>
        <w:rPr>
          <w:rFonts w:cstheme="minorHAnsi"/>
        </w:rPr>
        <w:t xml:space="preserve"> w dwóch analizowanych okresach.</w:t>
      </w:r>
    </w:p>
    <w:p w14:paraId="2FF819C6" w14:textId="77777777" w:rsidR="00CB789E" w:rsidRDefault="00CB789E" w:rsidP="00CB789E">
      <w:pPr>
        <w:pStyle w:val="Nagwek2"/>
        <w:numPr>
          <w:ilvl w:val="1"/>
          <w:numId w:val="1"/>
        </w:numPr>
      </w:pPr>
      <w:r>
        <w:t>Wyniki oceny eutrofizacji wód</w:t>
      </w:r>
    </w:p>
    <w:p w14:paraId="5C019E37" w14:textId="77777777" w:rsidR="00CB789E" w:rsidRDefault="00CB789E" w:rsidP="00CB789E">
      <w:pPr>
        <w:jc w:val="both"/>
      </w:pPr>
      <w:r>
        <w:t>Zestawienie danych dot. oceny eutrofizacji dla poszczególnych punktów pomiarowo- kontrolnych PMŚ w okresie 2016-2019, jak również średnich wartości stężeń analizowanych wskaźników eutrofizacji w 2020 r. wraz z oceną występowania zjawiska, przedstawiono w Załączniku nr 3.</w:t>
      </w:r>
    </w:p>
    <w:p w14:paraId="451F834A" w14:textId="77777777" w:rsidR="00CB789E" w:rsidRDefault="00CB789E" w:rsidP="00CB789E">
      <w:pPr>
        <w:jc w:val="both"/>
      </w:pPr>
      <w:r>
        <w:t>Poniżej zaprezentowano uzyskane wyniki analiz, poprzez przedstawienie liczby punktów, w których wystąpiło zjawisko eutrofizacji wód powierzchniowych w 2020 r. w porównaniu do analogicznych wyników w okresie 2016-2019, z uwzględnieniem liczby punktów wspólnych w obu analizowanych okresach.</w:t>
      </w:r>
    </w:p>
    <w:p w14:paraId="64FC8985" w14:textId="34045741" w:rsidR="00CB789E" w:rsidRPr="009B49AB" w:rsidRDefault="00CB789E" w:rsidP="00CB789E">
      <w:pPr>
        <w:pStyle w:val="Legenda"/>
        <w:keepNext/>
        <w:spacing w:after="120"/>
        <w:rPr>
          <w:rFonts w:cstheme="minorHAnsi"/>
          <w:i w:val="0"/>
          <w:iCs w:val="0"/>
          <w:color w:val="2F5496" w:themeColor="accent1" w:themeShade="BF"/>
          <w:sz w:val="20"/>
          <w:szCs w:val="20"/>
        </w:rPr>
      </w:pPr>
      <w:r w:rsidRPr="003954B6">
        <w:rPr>
          <w:rFonts w:cstheme="minorHAnsi"/>
          <w:i w:val="0"/>
          <w:iCs w:val="0"/>
          <w:color w:val="2F5496" w:themeColor="accent1" w:themeShade="BF"/>
          <w:sz w:val="20"/>
          <w:szCs w:val="20"/>
        </w:rPr>
        <w:t xml:space="preserve">Tabela </w:t>
      </w:r>
      <w:r w:rsidR="0013592A">
        <w:rPr>
          <w:rFonts w:cstheme="minorHAnsi"/>
          <w:i w:val="0"/>
          <w:iCs w:val="0"/>
          <w:color w:val="2F5496" w:themeColor="accent1" w:themeShade="BF"/>
          <w:sz w:val="20"/>
          <w:szCs w:val="20"/>
        </w:rPr>
        <w:t>11.</w:t>
      </w:r>
      <w:r w:rsidRPr="003954B6">
        <w:rPr>
          <w:rFonts w:cstheme="minorHAnsi"/>
          <w:i w:val="0"/>
          <w:iCs w:val="0"/>
          <w:color w:val="2F5496" w:themeColor="accent1" w:themeShade="BF"/>
          <w:sz w:val="20"/>
          <w:szCs w:val="20"/>
        </w:rPr>
        <w:t xml:space="preserve"> </w:t>
      </w:r>
      <w:r>
        <w:rPr>
          <w:rFonts w:cstheme="minorHAnsi"/>
          <w:i w:val="0"/>
          <w:iCs w:val="0"/>
          <w:color w:val="2F5496" w:themeColor="accent1" w:themeShade="BF"/>
          <w:sz w:val="20"/>
          <w:szCs w:val="20"/>
        </w:rPr>
        <w:t>Liczba</w:t>
      </w:r>
      <w:r w:rsidRPr="009B49AB">
        <w:rPr>
          <w:rFonts w:cstheme="minorHAnsi"/>
          <w:i w:val="0"/>
          <w:iCs w:val="0"/>
          <w:color w:val="2F5496" w:themeColor="accent1" w:themeShade="BF"/>
          <w:sz w:val="20"/>
          <w:szCs w:val="20"/>
        </w:rPr>
        <w:t xml:space="preserve"> punktów (</w:t>
      </w:r>
      <w:proofErr w:type="spellStart"/>
      <w:r w:rsidRPr="009B49AB">
        <w:rPr>
          <w:rFonts w:cstheme="minorHAnsi"/>
          <w:i w:val="0"/>
          <w:iCs w:val="0"/>
          <w:color w:val="2F5496" w:themeColor="accent1" w:themeShade="BF"/>
          <w:sz w:val="20"/>
          <w:szCs w:val="20"/>
        </w:rPr>
        <w:t>ppk</w:t>
      </w:r>
      <w:proofErr w:type="spellEnd"/>
      <w:r w:rsidRPr="009B49AB">
        <w:rPr>
          <w:rFonts w:cstheme="minorHAnsi"/>
          <w:i w:val="0"/>
          <w:iCs w:val="0"/>
          <w:color w:val="2F5496" w:themeColor="accent1" w:themeShade="BF"/>
          <w:sz w:val="20"/>
          <w:szCs w:val="20"/>
        </w:rPr>
        <w:t>), w których stwierdzono zjawisko eutrofizacji</w:t>
      </w:r>
      <w:r>
        <w:rPr>
          <w:rFonts w:cstheme="minorHAnsi"/>
          <w:i w:val="0"/>
          <w:iCs w:val="0"/>
          <w:color w:val="2F5496" w:themeColor="accent1" w:themeShade="BF"/>
          <w:sz w:val="20"/>
          <w:szCs w:val="20"/>
        </w:rPr>
        <w:t>, z podziałem na kategorie wód</w:t>
      </w:r>
    </w:p>
    <w:tbl>
      <w:tblPr>
        <w:tblStyle w:val="Tabela-Siatka"/>
        <w:tblW w:w="5000" w:type="pct"/>
        <w:tblLook w:val="04A0" w:firstRow="1" w:lastRow="0" w:firstColumn="1" w:lastColumn="0" w:noHBand="0" w:noVBand="1"/>
      </w:tblPr>
      <w:tblGrid>
        <w:gridCol w:w="1977"/>
        <w:gridCol w:w="2363"/>
        <w:gridCol w:w="2360"/>
        <w:gridCol w:w="2362"/>
      </w:tblGrid>
      <w:tr w:rsidR="00CB789E" w:rsidRPr="003954B6" w14:paraId="71C6EF14" w14:textId="77777777" w:rsidTr="00C24687">
        <w:trPr>
          <w:cantSplit/>
          <w:trHeight w:hRule="exact" w:val="602"/>
        </w:trPr>
        <w:tc>
          <w:tcPr>
            <w:tcW w:w="1091" w:type="pct"/>
            <w:vMerge w:val="restart"/>
            <w:tcBorders>
              <w:top w:val="single" w:sz="4" w:space="0" w:color="auto"/>
              <w:left w:val="single" w:sz="4" w:space="0" w:color="auto"/>
              <w:right w:val="single" w:sz="4" w:space="0" w:color="auto"/>
            </w:tcBorders>
            <w:shd w:val="clear" w:color="auto" w:fill="2F5496" w:themeFill="accent1" w:themeFillShade="BF"/>
            <w:vAlign w:val="center"/>
          </w:tcPr>
          <w:p w14:paraId="473492C6" w14:textId="77777777" w:rsidR="00CB789E"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Kategorie wód</w:t>
            </w:r>
          </w:p>
        </w:tc>
        <w:tc>
          <w:tcPr>
            <w:tcW w:w="3909" w:type="pct"/>
            <w:gridSpan w:val="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6EF9F81" w14:textId="77777777" w:rsidR="00CB789E" w:rsidRDefault="00CB789E" w:rsidP="00C24687">
            <w:pPr>
              <w:spacing w:beforeLines="120" w:before="288" w:line="276" w:lineRule="auto"/>
              <w:contextualSpacing/>
              <w:jc w:val="center"/>
              <w:rPr>
                <w:rFonts w:cstheme="minorHAnsi"/>
                <w:b/>
                <w:bCs/>
                <w:color w:val="FFFFFF" w:themeColor="background1"/>
                <w:sz w:val="20"/>
                <w:szCs w:val="20"/>
              </w:rPr>
            </w:pPr>
            <w:r w:rsidRPr="003003BF">
              <w:rPr>
                <w:rFonts w:cstheme="minorHAnsi"/>
                <w:b/>
                <w:bCs/>
                <w:color w:val="FFFFFF" w:themeColor="background1"/>
                <w:sz w:val="20"/>
                <w:szCs w:val="20"/>
              </w:rPr>
              <w:t>Liczba punktów (</w:t>
            </w:r>
            <w:proofErr w:type="spellStart"/>
            <w:r w:rsidRPr="003003BF">
              <w:rPr>
                <w:rFonts w:cstheme="minorHAnsi"/>
                <w:b/>
                <w:bCs/>
                <w:color w:val="FFFFFF" w:themeColor="background1"/>
                <w:sz w:val="20"/>
                <w:szCs w:val="20"/>
              </w:rPr>
              <w:t>ppk</w:t>
            </w:r>
            <w:proofErr w:type="spellEnd"/>
            <w:r w:rsidRPr="003003BF">
              <w:rPr>
                <w:rFonts w:cstheme="minorHAnsi"/>
                <w:b/>
                <w:bCs/>
                <w:color w:val="FFFFFF" w:themeColor="background1"/>
                <w:sz w:val="20"/>
                <w:szCs w:val="20"/>
              </w:rPr>
              <w:t>), w których stwierdzono zjawisko eutrofizacji</w:t>
            </w:r>
          </w:p>
        </w:tc>
      </w:tr>
      <w:tr w:rsidR="00CB789E" w:rsidRPr="003954B6" w14:paraId="53F97D03" w14:textId="77777777" w:rsidTr="00C24687">
        <w:trPr>
          <w:cantSplit/>
          <w:trHeight w:hRule="exact" w:val="821"/>
        </w:trPr>
        <w:tc>
          <w:tcPr>
            <w:tcW w:w="1091" w:type="pct"/>
            <w:vMerge/>
            <w:tcBorders>
              <w:left w:val="single" w:sz="4" w:space="0" w:color="auto"/>
              <w:bottom w:val="single" w:sz="4" w:space="0" w:color="auto"/>
              <w:right w:val="single" w:sz="4" w:space="0" w:color="auto"/>
            </w:tcBorders>
            <w:shd w:val="clear" w:color="auto" w:fill="2F5496" w:themeFill="accent1" w:themeFillShade="BF"/>
            <w:hideMark/>
          </w:tcPr>
          <w:p w14:paraId="77CEBC96" w14:textId="77777777" w:rsidR="00CB789E" w:rsidRPr="003954B6" w:rsidRDefault="00CB789E" w:rsidP="00C24687">
            <w:pPr>
              <w:spacing w:beforeLines="120" w:before="288" w:line="276" w:lineRule="auto"/>
              <w:contextualSpacing/>
              <w:jc w:val="center"/>
              <w:rPr>
                <w:rFonts w:cstheme="minorHAnsi"/>
                <w:color w:val="FFFFFF" w:themeColor="background1"/>
                <w:sz w:val="20"/>
                <w:szCs w:val="20"/>
              </w:rPr>
            </w:pPr>
          </w:p>
        </w:tc>
        <w:tc>
          <w:tcPr>
            <w:tcW w:w="1304"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125BD1A" w14:textId="77777777" w:rsidR="00CB789E" w:rsidRPr="003954B6" w:rsidRDefault="00CB789E" w:rsidP="00C24687">
            <w:pPr>
              <w:spacing w:beforeLines="120" w:before="288" w:line="276" w:lineRule="auto"/>
              <w:contextualSpacing/>
              <w:jc w:val="center"/>
              <w:rPr>
                <w:rFonts w:cstheme="minorHAnsi"/>
                <w:color w:val="FFFFFF" w:themeColor="background1"/>
                <w:sz w:val="20"/>
                <w:szCs w:val="20"/>
              </w:rPr>
            </w:pPr>
            <w:r>
              <w:rPr>
                <w:rFonts w:cstheme="minorHAnsi"/>
                <w:b/>
                <w:bCs/>
                <w:color w:val="FFFFFF" w:themeColor="background1"/>
                <w:sz w:val="20"/>
                <w:szCs w:val="20"/>
              </w:rPr>
              <w:t>2016-2019*</w:t>
            </w:r>
          </w:p>
        </w:tc>
        <w:tc>
          <w:tcPr>
            <w:tcW w:w="1302"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2FD47CF7"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2020 r.*</w:t>
            </w:r>
          </w:p>
        </w:tc>
        <w:tc>
          <w:tcPr>
            <w:tcW w:w="1303"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05CAE680"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Punkty wspólne</w:t>
            </w:r>
          </w:p>
        </w:tc>
      </w:tr>
      <w:tr w:rsidR="00CB789E" w:rsidRPr="00E70F65" w14:paraId="14F1B12C" w14:textId="77777777" w:rsidTr="00C24687">
        <w:trPr>
          <w:cantSplit/>
          <w:trHeight w:hRule="exact" w:val="567"/>
        </w:trPr>
        <w:tc>
          <w:tcPr>
            <w:tcW w:w="1091" w:type="pct"/>
            <w:tcBorders>
              <w:top w:val="single" w:sz="4" w:space="0" w:color="auto"/>
              <w:left w:val="single" w:sz="4" w:space="0" w:color="auto"/>
              <w:bottom w:val="single" w:sz="4" w:space="0" w:color="auto"/>
              <w:right w:val="single" w:sz="4" w:space="0" w:color="auto"/>
            </w:tcBorders>
            <w:vAlign w:val="center"/>
            <w:hideMark/>
          </w:tcPr>
          <w:p w14:paraId="253DC4FE"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Rzeki</w:t>
            </w:r>
          </w:p>
        </w:tc>
        <w:tc>
          <w:tcPr>
            <w:tcW w:w="1304" w:type="pct"/>
            <w:tcBorders>
              <w:top w:val="single" w:sz="4" w:space="0" w:color="auto"/>
              <w:left w:val="single" w:sz="4" w:space="0" w:color="auto"/>
              <w:bottom w:val="single" w:sz="4" w:space="0" w:color="auto"/>
              <w:right w:val="single" w:sz="4" w:space="0" w:color="auto"/>
            </w:tcBorders>
            <w:vAlign w:val="center"/>
          </w:tcPr>
          <w:p w14:paraId="4DBB0323"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2011</w:t>
            </w:r>
          </w:p>
        </w:tc>
        <w:tc>
          <w:tcPr>
            <w:tcW w:w="1302" w:type="pct"/>
            <w:tcBorders>
              <w:top w:val="single" w:sz="4" w:space="0" w:color="auto"/>
              <w:left w:val="single" w:sz="4" w:space="0" w:color="auto"/>
              <w:bottom w:val="single" w:sz="4" w:space="0" w:color="auto"/>
              <w:right w:val="single" w:sz="4" w:space="0" w:color="auto"/>
            </w:tcBorders>
            <w:vAlign w:val="center"/>
          </w:tcPr>
          <w:p w14:paraId="1A743EC4"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502</w:t>
            </w:r>
          </w:p>
        </w:tc>
        <w:tc>
          <w:tcPr>
            <w:tcW w:w="1303" w:type="pct"/>
            <w:tcBorders>
              <w:top w:val="single" w:sz="4" w:space="0" w:color="auto"/>
              <w:left w:val="single" w:sz="4" w:space="0" w:color="auto"/>
              <w:bottom w:val="single" w:sz="4" w:space="0" w:color="auto"/>
              <w:right w:val="single" w:sz="4" w:space="0" w:color="auto"/>
            </w:tcBorders>
            <w:vAlign w:val="center"/>
          </w:tcPr>
          <w:p w14:paraId="7898B200"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794</w:t>
            </w:r>
          </w:p>
        </w:tc>
      </w:tr>
      <w:tr w:rsidR="00CB789E" w:rsidRPr="00E70F65" w14:paraId="6A930571" w14:textId="77777777" w:rsidTr="00C24687">
        <w:trPr>
          <w:cantSplit/>
          <w:trHeight w:hRule="exact" w:val="567"/>
        </w:trPr>
        <w:tc>
          <w:tcPr>
            <w:tcW w:w="1091" w:type="pct"/>
            <w:tcBorders>
              <w:top w:val="single" w:sz="4" w:space="0" w:color="auto"/>
              <w:left w:val="single" w:sz="4" w:space="0" w:color="auto"/>
              <w:bottom w:val="single" w:sz="4" w:space="0" w:color="auto"/>
              <w:right w:val="single" w:sz="4" w:space="0" w:color="auto"/>
            </w:tcBorders>
            <w:vAlign w:val="center"/>
            <w:hideMark/>
          </w:tcPr>
          <w:p w14:paraId="1726B28A"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Jeziora</w:t>
            </w:r>
          </w:p>
        </w:tc>
        <w:tc>
          <w:tcPr>
            <w:tcW w:w="1304" w:type="pct"/>
            <w:tcBorders>
              <w:top w:val="single" w:sz="4" w:space="0" w:color="auto"/>
              <w:left w:val="single" w:sz="4" w:space="0" w:color="auto"/>
              <w:bottom w:val="single" w:sz="4" w:space="0" w:color="auto"/>
              <w:right w:val="single" w:sz="4" w:space="0" w:color="auto"/>
            </w:tcBorders>
            <w:vAlign w:val="center"/>
          </w:tcPr>
          <w:p w14:paraId="429C0B89"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410</w:t>
            </w:r>
          </w:p>
        </w:tc>
        <w:tc>
          <w:tcPr>
            <w:tcW w:w="1302" w:type="pct"/>
            <w:tcBorders>
              <w:top w:val="single" w:sz="4" w:space="0" w:color="auto"/>
              <w:left w:val="single" w:sz="4" w:space="0" w:color="auto"/>
              <w:bottom w:val="single" w:sz="4" w:space="0" w:color="auto"/>
              <w:right w:val="single" w:sz="4" w:space="0" w:color="auto"/>
            </w:tcBorders>
            <w:vAlign w:val="center"/>
          </w:tcPr>
          <w:p w14:paraId="77735178"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212</w:t>
            </w:r>
          </w:p>
        </w:tc>
        <w:tc>
          <w:tcPr>
            <w:tcW w:w="1303" w:type="pct"/>
            <w:tcBorders>
              <w:top w:val="single" w:sz="4" w:space="0" w:color="auto"/>
              <w:left w:val="single" w:sz="4" w:space="0" w:color="auto"/>
              <w:bottom w:val="single" w:sz="4" w:space="0" w:color="auto"/>
              <w:right w:val="single" w:sz="4" w:space="0" w:color="auto"/>
            </w:tcBorders>
            <w:vAlign w:val="center"/>
          </w:tcPr>
          <w:p w14:paraId="1E096C78"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159</w:t>
            </w:r>
          </w:p>
        </w:tc>
      </w:tr>
      <w:tr w:rsidR="00CB789E" w:rsidRPr="00E70F65" w14:paraId="50D8CBBC" w14:textId="77777777" w:rsidTr="00C24687">
        <w:trPr>
          <w:cantSplit/>
          <w:trHeight w:hRule="exact" w:val="567"/>
        </w:trPr>
        <w:tc>
          <w:tcPr>
            <w:tcW w:w="1091" w:type="pct"/>
            <w:tcBorders>
              <w:top w:val="single" w:sz="4" w:space="0" w:color="auto"/>
              <w:left w:val="single" w:sz="4" w:space="0" w:color="auto"/>
              <w:bottom w:val="single" w:sz="4" w:space="0" w:color="auto"/>
              <w:right w:val="single" w:sz="4" w:space="0" w:color="auto"/>
            </w:tcBorders>
            <w:vAlign w:val="center"/>
          </w:tcPr>
          <w:p w14:paraId="2544B5B1"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Wody przejściowe</w:t>
            </w:r>
          </w:p>
        </w:tc>
        <w:tc>
          <w:tcPr>
            <w:tcW w:w="1304" w:type="pct"/>
            <w:tcBorders>
              <w:top w:val="single" w:sz="4" w:space="0" w:color="auto"/>
              <w:left w:val="single" w:sz="4" w:space="0" w:color="auto"/>
              <w:bottom w:val="single" w:sz="4" w:space="0" w:color="auto"/>
              <w:right w:val="single" w:sz="4" w:space="0" w:color="auto"/>
            </w:tcBorders>
            <w:vAlign w:val="center"/>
          </w:tcPr>
          <w:p w14:paraId="57FB0185" w14:textId="77777777" w:rsidR="00CB789E" w:rsidRPr="00AC307C" w:rsidRDefault="00CB789E" w:rsidP="00C24687">
            <w:pPr>
              <w:spacing w:beforeLines="120" w:before="288" w:line="276" w:lineRule="auto"/>
              <w:contextualSpacing/>
              <w:jc w:val="center"/>
              <w:rPr>
                <w:rFonts w:cstheme="minorHAnsi"/>
                <w:sz w:val="20"/>
                <w:szCs w:val="20"/>
              </w:rPr>
            </w:pPr>
            <w:r w:rsidRPr="00AC307C">
              <w:rPr>
                <w:rFonts w:cstheme="minorHAnsi"/>
                <w:sz w:val="20"/>
                <w:szCs w:val="20"/>
              </w:rPr>
              <w:t>9</w:t>
            </w:r>
          </w:p>
        </w:tc>
        <w:tc>
          <w:tcPr>
            <w:tcW w:w="1302" w:type="pct"/>
            <w:tcBorders>
              <w:top w:val="single" w:sz="4" w:space="0" w:color="auto"/>
              <w:left w:val="single" w:sz="4" w:space="0" w:color="auto"/>
              <w:bottom w:val="single" w:sz="4" w:space="0" w:color="auto"/>
              <w:right w:val="single" w:sz="4" w:space="0" w:color="auto"/>
            </w:tcBorders>
            <w:vAlign w:val="center"/>
          </w:tcPr>
          <w:p w14:paraId="53762A53" w14:textId="77777777" w:rsidR="00CB789E" w:rsidRPr="00AC307C" w:rsidRDefault="00CB789E" w:rsidP="00C24687">
            <w:pPr>
              <w:spacing w:beforeLines="120" w:before="288" w:line="276" w:lineRule="auto"/>
              <w:contextualSpacing/>
              <w:jc w:val="center"/>
              <w:rPr>
                <w:rFonts w:cstheme="minorHAnsi"/>
                <w:sz w:val="20"/>
                <w:szCs w:val="20"/>
              </w:rPr>
            </w:pPr>
            <w:r w:rsidRPr="00AC307C">
              <w:rPr>
                <w:rFonts w:cstheme="minorHAnsi"/>
                <w:sz w:val="20"/>
                <w:szCs w:val="20"/>
              </w:rPr>
              <w:t>9</w:t>
            </w:r>
          </w:p>
        </w:tc>
        <w:tc>
          <w:tcPr>
            <w:tcW w:w="1303" w:type="pct"/>
            <w:tcBorders>
              <w:top w:val="single" w:sz="4" w:space="0" w:color="auto"/>
              <w:left w:val="single" w:sz="4" w:space="0" w:color="auto"/>
              <w:bottom w:val="single" w:sz="4" w:space="0" w:color="auto"/>
              <w:right w:val="single" w:sz="4" w:space="0" w:color="auto"/>
            </w:tcBorders>
            <w:vAlign w:val="center"/>
          </w:tcPr>
          <w:p w14:paraId="77429847" w14:textId="77777777" w:rsidR="00CB789E" w:rsidRPr="00AC307C" w:rsidRDefault="00CB789E" w:rsidP="00C24687">
            <w:pPr>
              <w:spacing w:beforeLines="120" w:before="288" w:line="276" w:lineRule="auto"/>
              <w:contextualSpacing/>
              <w:jc w:val="center"/>
              <w:rPr>
                <w:rFonts w:cstheme="minorHAnsi"/>
                <w:sz w:val="20"/>
                <w:szCs w:val="20"/>
              </w:rPr>
            </w:pPr>
            <w:r w:rsidRPr="00AC307C">
              <w:rPr>
                <w:rFonts w:cstheme="minorHAnsi"/>
                <w:sz w:val="20"/>
                <w:szCs w:val="20"/>
              </w:rPr>
              <w:t>9</w:t>
            </w:r>
          </w:p>
        </w:tc>
      </w:tr>
      <w:tr w:rsidR="00CB789E" w:rsidRPr="00E70F65" w14:paraId="6C93DC1E" w14:textId="77777777" w:rsidTr="00C24687">
        <w:trPr>
          <w:cantSplit/>
          <w:trHeight w:hRule="exact" w:val="567"/>
        </w:trPr>
        <w:tc>
          <w:tcPr>
            <w:tcW w:w="1091" w:type="pct"/>
            <w:tcBorders>
              <w:top w:val="single" w:sz="4" w:space="0" w:color="auto"/>
              <w:left w:val="single" w:sz="4" w:space="0" w:color="auto"/>
              <w:bottom w:val="single" w:sz="4" w:space="0" w:color="auto"/>
              <w:right w:val="single" w:sz="4" w:space="0" w:color="auto"/>
            </w:tcBorders>
            <w:vAlign w:val="center"/>
          </w:tcPr>
          <w:p w14:paraId="280CD386" w14:textId="77777777" w:rsidR="00CB789E" w:rsidRDefault="00CB789E" w:rsidP="00C24687">
            <w:pPr>
              <w:spacing w:beforeLines="120" w:before="288" w:line="276" w:lineRule="auto"/>
              <w:contextualSpacing/>
              <w:jc w:val="center"/>
              <w:rPr>
                <w:rFonts w:cstheme="minorHAnsi"/>
                <w:sz w:val="20"/>
                <w:szCs w:val="20"/>
              </w:rPr>
            </w:pPr>
            <w:r>
              <w:rPr>
                <w:rFonts w:cstheme="minorHAnsi"/>
                <w:sz w:val="20"/>
                <w:szCs w:val="20"/>
              </w:rPr>
              <w:t>Wody przybrzeżne</w:t>
            </w:r>
          </w:p>
        </w:tc>
        <w:tc>
          <w:tcPr>
            <w:tcW w:w="1304" w:type="pct"/>
            <w:tcBorders>
              <w:top w:val="single" w:sz="4" w:space="0" w:color="auto"/>
              <w:left w:val="single" w:sz="4" w:space="0" w:color="auto"/>
              <w:bottom w:val="single" w:sz="4" w:space="0" w:color="auto"/>
              <w:right w:val="single" w:sz="4" w:space="0" w:color="auto"/>
            </w:tcBorders>
            <w:vAlign w:val="center"/>
          </w:tcPr>
          <w:p w14:paraId="0F1B888F" w14:textId="77777777" w:rsidR="00CB789E" w:rsidRDefault="00CB789E" w:rsidP="00C24687">
            <w:pPr>
              <w:spacing w:beforeLines="120" w:before="288" w:line="276" w:lineRule="auto"/>
              <w:contextualSpacing/>
              <w:jc w:val="center"/>
              <w:rPr>
                <w:rFonts w:cstheme="minorHAnsi"/>
                <w:sz w:val="20"/>
                <w:szCs w:val="20"/>
              </w:rPr>
            </w:pPr>
            <w:r>
              <w:rPr>
                <w:rFonts w:cstheme="minorHAnsi"/>
                <w:sz w:val="20"/>
                <w:szCs w:val="20"/>
              </w:rPr>
              <w:t>10</w:t>
            </w:r>
          </w:p>
        </w:tc>
        <w:tc>
          <w:tcPr>
            <w:tcW w:w="1302" w:type="pct"/>
            <w:tcBorders>
              <w:top w:val="single" w:sz="4" w:space="0" w:color="auto"/>
              <w:left w:val="single" w:sz="4" w:space="0" w:color="auto"/>
              <w:bottom w:val="single" w:sz="4" w:space="0" w:color="auto"/>
              <w:right w:val="single" w:sz="4" w:space="0" w:color="auto"/>
            </w:tcBorders>
            <w:vAlign w:val="center"/>
          </w:tcPr>
          <w:p w14:paraId="2E52975D" w14:textId="77777777" w:rsidR="00CB789E" w:rsidRDefault="00CB789E" w:rsidP="00C24687">
            <w:pPr>
              <w:spacing w:beforeLines="120" w:before="288" w:line="276" w:lineRule="auto"/>
              <w:contextualSpacing/>
              <w:jc w:val="center"/>
              <w:rPr>
                <w:rFonts w:cstheme="minorHAnsi"/>
                <w:sz w:val="20"/>
                <w:szCs w:val="20"/>
              </w:rPr>
            </w:pPr>
            <w:r>
              <w:rPr>
                <w:rFonts w:cstheme="minorHAnsi"/>
                <w:sz w:val="20"/>
                <w:szCs w:val="20"/>
              </w:rPr>
              <w:t>10</w:t>
            </w:r>
          </w:p>
        </w:tc>
        <w:tc>
          <w:tcPr>
            <w:tcW w:w="1303" w:type="pct"/>
            <w:tcBorders>
              <w:top w:val="single" w:sz="4" w:space="0" w:color="auto"/>
              <w:left w:val="single" w:sz="4" w:space="0" w:color="auto"/>
              <w:bottom w:val="single" w:sz="4" w:space="0" w:color="auto"/>
              <w:right w:val="single" w:sz="4" w:space="0" w:color="auto"/>
            </w:tcBorders>
            <w:vAlign w:val="center"/>
          </w:tcPr>
          <w:p w14:paraId="31859437" w14:textId="77777777" w:rsidR="00CB789E" w:rsidRDefault="00CB789E" w:rsidP="00C24687">
            <w:pPr>
              <w:spacing w:beforeLines="120" w:before="288" w:line="276" w:lineRule="auto"/>
              <w:contextualSpacing/>
              <w:jc w:val="center"/>
              <w:rPr>
                <w:rFonts w:cstheme="minorHAnsi"/>
                <w:sz w:val="20"/>
                <w:szCs w:val="20"/>
              </w:rPr>
            </w:pPr>
            <w:r>
              <w:rPr>
                <w:rFonts w:cstheme="minorHAnsi"/>
                <w:sz w:val="20"/>
                <w:szCs w:val="20"/>
              </w:rPr>
              <w:t>10</w:t>
            </w:r>
          </w:p>
        </w:tc>
      </w:tr>
      <w:tr w:rsidR="00CB789E" w:rsidRPr="00E70F65" w14:paraId="48E0C457" w14:textId="77777777" w:rsidTr="00C24687">
        <w:trPr>
          <w:cantSplit/>
          <w:trHeight w:hRule="exact" w:val="567"/>
        </w:trPr>
        <w:tc>
          <w:tcPr>
            <w:tcW w:w="1091" w:type="pct"/>
            <w:tcBorders>
              <w:top w:val="single" w:sz="4" w:space="0" w:color="auto"/>
              <w:left w:val="single" w:sz="4" w:space="0" w:color="auto"/>
              <w:bottom w:val="single" w:sz="4" w:space="0" w:color="auto"/>
              <w:right w:val="single" w:sz="4" w:space="0" w:color="auto"/>
            </w:tcBorders>
            <w:vAlign w:val="center"/>
            <w:hideMark/>
          </w:tcPr>
          <w:p w14:paraId="7F705871"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Ogółem</w:t>
            </w:r>
          </w:p>
        </w:tc>
        <w:tc>
          <w:tcPr>
            <w:tcW w:w="1304" w:type="pct"/>
            <w:tcBorders>
              <w:top w:val="single" w:sz="4" w:space="0" w:color="auto"/>
              <w:left w:val="single" w:sz="4" w:space="0" w:color="auto"/>
              <w:bottom w:val="single" w:sz="4" w:space="0" w:color="auto"/>
              <w:right w:val="single" w:sz="4" w:space="0" w:color="auto"/>
            </w:tcBorders>
            <w:vAlign w:val="center"/>
          </w:tcPr>
          <w:p w14:paraId="13FDD679"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2440</w:t>
            </w:r>
          </w:p>
        </w:tc>
        <w:tc>
          <w:tcPr>
            <w:tcW w:w="1302" w:type="pct"/>
            <w:tcBorders>
              <w:top w:val="single" w:sz="4" w:space="0" w:color="auto"/>
              <w:left w:val="single" w:sz="4" w:space="0" w:color="auto"/>
              <w:bottom w:val="single" w:sz="4" w:space="0" w:color="auto"/>
              <w:right w:val="single" w:sz="4" w:space="0" w:color="auto"/>
            </w:tcBorders>
            <w:vAlign w:val="center"/>
          </w:tcPr>
          <w:p w14:paraId="0C199755"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733</w:t>
            </w:r>
          </w:p>
        </w:tc>
        <w:tc>
          <w:tcPr>
            <w:tcW w:w="1303" w:type="pct"/>
            <w:tcBorders>
              <w:top w:val="single" w:sz="4" w:space="0" w:color="auto"/>
              <w:left w:val="single" w:sz="4" w:space="0" w:color="auto"/>
              <w:bottom w:val="single" w:sz="4" w:space="0" w:color="auto"/>
              <w:right w:val="single" w:sz="4" w:space="0" w:color="auto"/>
            </w:tcBorders>
            <w:vAlign w:val="center"/>
          </w:tcPr>
          <w:p w14:paraId="4CCF5445"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972</w:t>
            </w:r>
          </w:p>
        </w:tc>
      </w:tr>
    </w:tbl>
    <w:p w14:paraId="71D91F4F" w14:textId="77777777" w:rsidR="00CB789E" w:rsidRPr="00496B52" w:rsidRDefault="00CB789E" w:rsidP="00CB789E">
      <w:pPr>
        <w:rPr>
          <w:sz w:val="20"/>
          <w:szCs w:val="20"/>
        </w:rPr>
      </w:pPr>
      <w:r w:rsidRPr="00496B52">
        <w:rPr>
          <w:sz w:val="20"/>
          <w:szCs w:val="20"/>
        </w:rPr>
        <w:t>* Liczba punktów</w:t>
      </w:r>
      <w:r>
        <w:rPr>
          <w:sz w:val="20"/>
          <w:szCs w:val="20"/>
        </w:rPr>
        <w:t>, w których stwierdzono eutrofizację w całej puli punktów badanych w danym okresie czasu</w:t>
      </w:r>
    </w:p>
    <w:p w14:paraId="31931482" w14:textId="77777777" w:rsidR="00CB789E" w:rsidRDefault="00CB789E" w:rsidP="00CB789E">
      <w:pPr>
        <w:jc w:val="both"/>
      </w:pPr>
      <w:r w:rsidRPr="00505AC0">
        <w:t xml:space="preserve">Jak wskazano w powyższej tabeli, łączna liczba punktów </w:t>
      </w:r>
      <w:r>
        <w:t>pomiarowo- kontrolnych wszystkich kategorii wód powierzchniowych, jakie analizowano pod kątem występowania eutrofizacji wynosi 972, natomiast liczba punktów, w których wystąpiło zjawisko eutrofizacji wód</w:t>
      </w:r>
      <w:r w:rsidRPr="00505AC0">
        <w:t>, zarówno w okresie 2016-2019 jak i w roku 2020, wynosi</w:t>
      </w:r>
      <w:r>
        <w:t xml:space="preserve"> 459 </w:t>
      </w:r>
      <w:proofErr w:type="spellStart"/>
      <w:r>
        <w:t>ppk</w:t>
      </w:r>
      <w:proofErr w:type="spellEnd"/>
      <w:r>
        <w:t xml:space="preserve">, co stanowi 47% badanych </w:t>
      </w:r>
      <w:proofErr w:type="spellStart"/>
      <w:r>
        <w:t>ppk</w:t>
      </w:r>
      <w:proofErr w:type="spellEnd"/>
      <w:r>
        <w:t xml:space="preserve"> wspólnych.</w:t>
      </w:r>
    </w:p>
    <w:p w14:paraId="72868DF9" w14:textId="77777777" w:rsidR="00CB789E" w:rsidRDefault="00CB789E" w:rsidP="00CB789E">
      <w:pPr>
        <w:jc w:val="both"/>
      </w:pPr>
      <w:r>
        <w:t xml:space="preserve">W 2020 r. w ujęciu wszystkich kategorii wód powierzchniowych, zjawisko eutrofizacji, zgodnie z przyjętymi założeniami analizy zjawiska, eutrofizacja wystąpiła w  54% </w:t>
      </w:r>
      <w:proofErr w:type="spellStart"/>
      <w:r>
        <w:t>ppk</w:t>
      </w:r>
      <w:proofErr w:type="spellEnd"/>
      <w:r>
        <w:t xml:space="preserve"> objętych analizą, natomiast </w:t>
      </w:r>
      <w:r>
        <w:lastRenderedPageBreak/>
        <w:t xml:space="preserve">w okresie 2016-2019 zgodnie z oceną eutrofizacji wód przeprowadzoną przez GIOŚ, stwierdzono występowanie zjawiska w 67% analizowanych </w:t>
      </w:r>
      <w:proofErr w:type="spellStart"/>
      <w:r>
        <w:t>ppk</w:t>
      </w:r>
      <w:proofErr w:type="spellEnd"/>
      <w:r>
        <w:t>.</w:t>
      </w:r>
    </w:p>
    <w:p w14:paraId="2F0185FD" w14:textId="77777777" w:rsidR="00CB789E" w:rsidRDefault="00CB789E" w:rsidP="00CB789E">
      <w:r>
        <w:t xml:space="preserve">W podziale na kategorie wód, udział procentowy </w:t>
      </w:r>
      <w:proofErr w:type="spellStart"/>
      <w:r>
        <w:t>ppk</w:t>
      </w:r>
      <w:proofErr w:type="spellEnd"/>
      <w:r>
        <w:t xml:space="preserve"> z eutrofizacją wód w 2020 r. przedstawia się następująco:</w:t>
      </w:r>
    </w:p>
    <w:p w14:paraId="687E108D" w14:textId="77777777" w:rsidR="00CB789E" w:rsidRDefault="00CB789E" w:rsidP="00CB789E">
      <w:pPr>
        <w:pStyle w:val="Akapitzlist"/>
        <w:numPr>
          <w:ilvl w:val="0"/>
          <w:numId w:val="30"/>
        </w:numPr>
      </w:pPr>
      <w:proofErr w:type="spellStart"/>
      <w:r>
        <w:t>ppk</w:t>
      </w:r>
      <w:proofErr w:type="spellEnd"/>
      <w:r>
        <w:t xml:space="preserve"> zlokalizowane na ciekach- 45 % (w okresie 2016-2019- 66%),</w:t>
      </w:r>
    </w:p>
    <w:p w14:paraId="474DE2AA" w14:textId="77777777" w:rsidR="00CB789E" w:rsidRDefault="00CB789E" w:rsidP="00CB789E">
      <w:pPr>
        <w:pStyle w:val="Akapitzlist"/>
        <w:numPr>
          <w:ilvl w:val="0"/>
          <w:numId w:val="30"/>
        </w:numPr>
      </w:pPr>
      <w:proofErr w:type="spellStart"/>
      <w:r>
        <w:t>ppk</w:t>
      </w:r>
      <w:proofErr w:type="spellEnd"/>
      <w:r>
        <w:t xml:space="preserve"> zlokalizowane na jeziorach – 95% (w okresie 2016-2019- 73%),</w:t>
      </w:r>
    </w:p>
    <w:p w14:paraId="11FD6DC0" w14:textId="77777777" w:rsidR="00CB789E" w:rsidRDefault="00CB789E" w:rsidP="00CB789E">
      <w:pPr>
        <w:pStyle w:val="Akapitzlist"/>
        <w:numPr>
          <w:ilvl w:val="0"/>
          <w:numId w:val="30"/>
        </w:numPr>
      </w:pPr>
      <w:proofErr w:type="spellStart"/>
      <w:r>
        <w:t>ppk</w:t>
      </w:r>
      <w:proofErr w:type="spellEnd"/>
      <w:r>
        <w:t xml:space="preserve"> zlokalizowane na wodach przejściowych i przybrzeżnych – 100% (w okresie 2016-2019- 100%).</w:t>
      </w:r>
    </w:p>
    <w:p w14:paraId="426817FF" w14:textId="77777777" w:rsidR="00CB789E" w:rsidRDefault="00CB789E" w:rsidP="00CB789E">
      <w:pPr>
        <w:jc w:val="both"/>
      </w:pPr>
      <w:r>
        <w:t xml:space="preserve">Uzyskane wyniki wskazują na zmniejszenie skali eutrofizacji wód w ciekach w 2020 r. względem wyników oceny eutrofizacji wód w okresie 2016-2019, natomiast wzrost eutrofizacji wód jezior. Wody przejściowe i przybrzeżne w 2020 r. były </w:t>
      </w:r>
      <w:proofErr w:type="spellStart"/>
      <w:r>
        <w:t>zeutrofizowane</w:t>
      </w:r>
      <w:proofErr w:type="spellEnd"/>
      <w:r>
        <w:t xml:space="preserve"> w takiej samej skali jak w okresie 2016-2019.</w:t>
      </w:r>
    </w:p>
    <w:p w14:paraId="2E6D62C9" w14:textId="77777777" w:rsidR="00CB789E" w:rsidRDefault="00CB789E" w:rsidP="00CB789E">
      <w:pPr>
        <w:jc w:val="both"/>
      </w:pPr>
      <w:r>
        <w:t>Występowanie zjawiska eutrofizacji</w:t>
      </w:r>
      <w:r w:rsidRPr="00724054">
        <w:t xml:space="preserve"> w wodach powierzchniowych w poprzednim okresie sprawozdawczym i w 2020 r. (we wspólnych punktach pomiarowych) przedstawiono na poniższych mapach.</w:t>
      </w:r>
    </w:p>
    <w:p w14:paraId="357387FF" w14:textId="77777777" w:rsidR="00CB789E" w:rsidRDefault="00CB789E" w:rsidP="00CB789E">
      <w:pPr>
        <w:jc w:val="both"/>
        <w:sectPr w:rsidR="00CB789E" w:rsidSect="007D3D8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
          <w:cols w:space="708"/>
          <w:titlePg/>
          <w:docGrid w:linePitch="360"/>
        </w:sectPr>
      </w:pPr>
    </w:p>
    <w:p w14:paraId="2C350659" w14:textId="77777777" w:rsidR="00CB789E" w:rsidRDefault="00CB789E" w:rsidP="00CB789E">
      <w:pPr>
        <w:jc w:val="both"/>
      </w:pPr>
      <w:r w:rsidRPr="00484AE0">
        <w:rPr>
          <w:color w:val="2F5496" w:themeColor="accent1" w:themeShade="BF"/>
          <w:sz w:val="20"/>
          <w:szCs w:val="20"/>
        </w:rPr>
        <w:lastRenderedPageBreak/>
        <w:t xml:space="preserve">Rysunek </w:t>
      </w:r>
      <w:r>
        <w:rPr>
          <w:color w:val="2F5496" w:themeColor="accent1" w:themeShade="BF"/>
          <w:sz w:val="20"/>
          <w:szCs w:val="20"/>
        </w:rPr>
        <w:t>4</w:t>
      </w:r>
      <w:r w:rsidRPr="00484AE0">
        <w:rPr>
          <w:color w:val="2F5496" w:themeColor="accent1" w:themeShade="BF"/>
          <w:sz w:val="20"/>
          <w:szCs w:val="20"/>
        </w:rPr>
        <w:t xml:space="preserve">. </w:t>
      </w:r>
      <w:r>
        <w:rPr>
          <w:color w:val="2F5496" w:themeColor="accent1" w:themeShade="BF"/>
          <w:sz w:val="20"/>
          <w:szCs w:val="20"/>
        </w:rPr>
        <w:t>Występowanie zjawiska eutrofizacji wód</w:t>
      </w:r>
      <w:r w:rsidRPr="00484AE0">
        <w:rPr>
          <w:color w:val="2F5496" w:themeColor="accent1" w:themeShade="BF"/>
          <w:sz w:val="20"/>
        </w:rPr>
        <w:t xml:space="preserve"> powierzchniowych w okresie sprawozdawczym 2016-2019 oraz w 2020 r. (we wspólnych punktach pomiarowych</w:t>
      </w:r>
      <w:r>
        <w:rPr>
          <w:color w:val="2F5496" w:themeColor="accent1" w:themeShade="BF"/>
          <w:sz w:val="20"/>
        </w:rPr>
        <w:t>)</w:t>
      </w:r>
    </w:p>
    <w:p w14:paraId="09414D77" w14:textId="77777777" w:rsidR="00CB789E" w:rsidRDefault="00CB789E" w:rsidP="00CB789E">
      <w:pPr>
        <w:jc w:val="center"/>
      </w:pPr>
    </w:p>
    <w:p w14:paraId="29458C7F" w14:textId="77777777" w:rsidR="00CB789E" w:rsidRDefault="00CB789E" w:rsidP="00CB789E">
      <w:pPr>
        <w:jc w:val="center"/>
      </w:pPr>
      <w:r>
        <w:rPr>
          <w:noProof/>
        </w:rPr>
        <w:drawing>
          <wp:inline distT="0" distB="0" distL="0" distR="0" wp14:anchorId="4FE4A36C" wp14:editId="115E3FC7">
            <wp:extent cx="10550525" cy="6699885"/>
            <wp:effectExtent l="0" t="0" r="3175"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50525" cy="6699885"/>
                    </a:xfrm>
                    <a:prstGeom prst="rect">
                      <a:avLst/>
                    </a:prstGeom>
                    <a:noFill/>
                    <a:ln>
                      <a:noFill/>
                    </a:ln>
                  </pic:spPr>
                </pic:pic>
              </a:graphicData>
            </a:graphic>
          </wp:inline>
        </w:drawing>
      </w:r>
    </w:p>
    <w:p w14:paraId="6C2BBBCD" w14:textId="77777777" w:rsidR="00CB789E" w:rsidRDefault="00CB789E" w:rsidP="00CB789E">
      <w:pPr>
        <w:spacing w:after="0"/>
        <w:rPr>
          <w:rFonts w:cstheme="minorHAnsi"/>
          <w:bCs/>
          <w:sz w:val="20"/>
          <w:szCs w:val="20"/>
        </w:rPr>
        <w:sectPr w:rsidR="00CB789E" w:rsidSect="009753B9">
          <w:pgSz w:w="23811" w:h="16838" w:orient="landscape" w:code="8"/>
          <w:pgMar w:top="1417" w:right="1417" w:bottom="1417" w:left="1417" w:header="708" w:footer="708" w:gutter="0"/>
          <w:pgNumType w:start="1"/>
          <w:cols w:space="708"/>
          <w:titlePg/>
          <w:docGrid w:linePitch="360"/>
        </w:sectPr>
      </w:pPr>
      <w:r w:rsidRPr="00432A15">
        <w:rPr>
          <w:rFonts w:cstheme="minorHAnsi"/>
          <w:sz w:val="20"/>
          <w:szCs w:val="20"/>
        </w:rPr>
        <w:t xml:space="preserve">Źródło: opracowano na podstawie </w:t>
      </w:r>
      <w:r>
        <w:rPr>
          <w:rFonts w:cstheme="minorHAnsi"/>
          <w:bCs/>
          <w:sz w:val="20"/>
          <w:szCs w:val="20"/>
        </w:rPr>
        <w:t>Oceny eutrofizacji wód w okresie 2016-2019</w:t>
      </w:r>
      <w:r w:rsidRPr="00432A15">
        <w:rPr>
          <w:rFonts w:cstheme="minorHAnsi"/>
          <w:bCs/>
          <w:sz w:val="20"/>
          <w:szCs w:val="20"/>
        </w:rPr>
        <w:t xml:space="preserve"> oraz wyników PMŚ z 2020 r.</w:t>
      </w:r>
    </w:p>
    <w:p w14:paraId="64D0953E" w14:textId="77777777" w:rsidR="00CB789E" w:rsidRDefault="00CB789E" w:rsidP="00CB789E">
      <w:pPr>
        <w:spacing w:after="0"/>
        <w:rPr>
          <w:rFonts w:cstheme="minorHAnsi"/>
          <w:bCs/>
          <w:sz w:val="20"/>
          <w:szCs w:val="20"/>
        </w:rPr>
      </w:pPr>
    </w:p>
    <w:p w14:paraId="30FA4969" w14:textId="77777777" w:rsidR="00CB789E" w:rsidRDefault="00CB789E" w:rsidP="00CB789E">
      <w:pPr>
        <w:pStyle w:val="Nagwek2"/>
        <w:numPr>
          <w:ilvl w:val="1"/>
          <w:numId w:val="1"/>
        </w:numPr>
      </w:pPr>
      <w:r>
        <w:t>Tendencje zmian eutrofizacji wód</w:t>
      </w:r>
    </w:p>
    <w:p w14:paraId="0CDF0B7A" w14:textId="77777777" w:rsidR="00CB789E" w:rsidRDefault="00CB789E" w:rsidP="00CB789E">
      <w:pPr>
        <w:jc w:val="both"/>
      </w:pPr>
      <w:r>
        <w:t xml:space="preserve">Zgodnie z przyjętym sposobem określenia tendencji zmian eutrofizacji wód powierzchniowych na obszarze Polski, z uwzględnieniem kategorii wód, dla punktów wspólnych ocenionych przez GIOŚ dla okresu 2016-2019 oraz dla </w:t>
      </w:r>
      <w:proofErr w:type="spellStart"/>
      <w:r>
        <w:t>ppk</w:t>
      </w:r>
      <w:proofErr w:type="spellEnd"/>
      <w:r>
        <w:t xml:space="preserve">, dla których możliwe było dokonanie uproszczonej oceny eutrofizacji w 2020 r., określono tendencję zmian eutrofizacji poprzez dopisanie jednego z sześciu możliwych stopni określających te zmiany: </w:t>
      </w:r>
      <w:r w:rsidRPr="001B0676">
        <w:t>silny wzrost, niewielki wzrost, wzrost, stabilizacja, niewielki spadek, silny spadek.</w:t>
      </w:r>
    </w:p>
    <w:p w14:paraId="63C801FD" w14:textId="77777777" w:rsidR="00CB789E" w:rsidRPr="001B0676" w:rsidRDefault="00CB789E" w:rsidP="00CB789E">
      <w:pPr>
        <w:jc w:val="both"/>
      </w:pPr>
      <w:r>
        <w:t>Zestawienie danych dot. tendencji zmian w analizowanym zakresie, przedstawiono w Załączniku nr 3.</w:t>
      </w:r>
    </w:p>
    <w:p w14:paraId="0B01295F" w14:textId="77777777" w:rsidR="00CB789E" w:rsidRDefault="00CB789E" w:rsidP="00CB789E">
      <w:pPr>
        <w:jc w:val="both"/>
      </w:pPr>
      <w:r>
        <w:t>Poniżej zaprezentowano uzyskane wyniki analiz tendencji zmian eutrofizacji, poprzez przedstawienie liczby punktów w przyjętych przedziałach skali zmian stanu troficznego w 2020 r. względem eutrofizacji w okresie 2016-2019.</w:t>
      </w:r>
    </w:p>
    <w:p w14:paraId="469CC88D" w14:textId="781F8B27" w:rsidR="00CB789E" w:rsidRPr="009B49AB" w:rsidRDefault="00CB789E" w:rsidP="00CB789E">
      <w:pPr>
        <w:pStyle w:val="Legenda"/>
        <w:keepNext/>
        <w:spacing w:after="120"/>
        <w:rPr>
          <w:rFonts w:cstheme="minorHAnsi"/>
          <w:i w:val="0"/>
          <w:iCs w:val="0"/>
          <w:color w:val="2F5496" w:themeColor="accent1" w:themeShade="BF"/>
          <w:sz w:val="20"/>
          <w:szCs w:val="20"/>
        </w:rPr>
      </w:pPr>
      <w:r w:rsidRPr="003954B6">
        <w:rPr>
          <w:rFonts w:cstheme="minorHAnsi"/>
          <w:i w:val="0"/>
          <w:iCs w:val="0"/>
          <w:color w:val="2F5496" w:themeColor="accent1" w:themeShade="BF"/>
          <w:sz w:val="20"/>
          <w:szCs w:val="20"/>
        </w:rPr>
        <w:t xml:space="preserve">Tabela </w:t>
      </w:r>
      <w:r w:rsidR="003467F0">
        <w:rPr>
          <w:rFonts w:cstheme="minorHAnsi"/>
          <w:i w:val="0"/>
          <w:iCs w:val="0"/>
          <w:color w:val="2F5496" w:themeColor="accent1" w:themeShade="BF"/>
          <w:sz w:val="20"/>
          <w:szCs w:val="20"/>
        </w:rPr>
        <w:t>12.</w:t>
      </w:r>
      <w:r w:rsidRPr="003954B6">
        <w:rPr>
          <w:rFonts w:cstheme="minorHAnsi"/>
          <w:i w:val="0"/>
          <w:iCs w:val="0"/>
          <w:color w:val="2F5496" w:themeColor="accent1" w:themeShade="BF"/>
          <w:sz w:val="20"/>
          <w:szCs w:val="20"/>
        </w:rPr>
        <w:t xml:space="preserve"> </w:t>
      </w:r>
      <w:r>
        <w:rPr>
          <w:rFonts w:cstheme="minorHAnsi"/>
          <w:i w:val="0"/>
          <w:iCs w:val="0"/>
          <w:color w:val="2F5496" w:themeColor="accent1" w:themeShade="BF"/>
          <w:sz w:val="20"/>
          <w:szCs w:val="20"/>
        </w:rPr>
        <w:t>Tendencje</w:t>
      </w:r>
      <w:r w:rsidRPr="009B49AB">
        <w:rPr>
          <w:rFonts w:cstheme="minorHAnsi"/>
          <w:i w:val="0"/>
          <w:iCs w:val="0"/>
          <w:color w:val="2F5496" w:themeColor="accent1" w:themeShade="BF"/>
          <w:sz w:val="20"/>
          <w:szCs w:val="20"/>
        </w:rPr>
        <w:t xml:space="preserve"> eutrofizacji </w:t>
      </w:r>
      <w:r>
        <w:rPr>
          <w:rFonts w:cstheme="minorHAnsi"/>
          <w:i w:val="0"/>
          <w:iCs w:val="0"/>
          <w:color w:val="2F5496" w:themeColor="accent1" w:themeShade="BF"/>
          <w:sz w:val="20"/>
          <w:szCs w:val="20"/>
        </w:rPr>
        <w:t>wód powierzchniowych między okresem 2016-2019, a 2020 r., z podziałem na kategorie wód</w:t>
      </w:r>
    </w:p>
    <w:tbl>
      <w:tblPr>
        <w:tblStyle w:val="Tabela-Siatka"/>
        <w:tblW w:w="5000" w:type="pct"/>
        <w:tblLook w:val="04A0" w:firstRow="1" w:lastRow="0" w:firstColumn="1" w:lastColumn="0" w:noHBand="0" w:noVBand="1"/>
      </w:tblPr>
      <w:tblGrid>
        <w:gridCol w:w="1252"/>
        <w:gridCol w:w="1303"/>
        <w:gridCol w:w="1301"/>
        <w:gridCol w:w="1303"/>
        <w:gridCol w:w="1303"/>
        <w:gridCol w:w="1301"/>
        <w:gridCol w:w="1297"/>
      </w:tblGrid>
      <w:tr w:rsidR="00CB789E" w:rsidRPr="003954B6" w14:paraId="02AE0AE3" w14:textId="77777777" w:rsidTr="00C24687">
        <w:trPr>
          <w:cantSplit/>
          <w:trHeight w:hRule="exact" w:val="510"/>
        </w:trPr>
        <w:tc>
          <w:tcPr>
            <w:tcW w:w="691" w:type="pct"/>
            <w:vMerge w:val="restart"/>
            <w:tcBorders>
              <w:top w:val="single" w:sz="4" w:space="0" w:color="auto"/>
              <w:left w:val="single" w:sz="4" w:space="0" w:color="auto"/>
              <w:right w:val="single" w:sz="4" w:space="0" w:color="auto"/>
            </w:tcBorders>
            <w:shd w:val="clear" w:color="auto" w:fill="2F5496" w:themeFill="accent1" w:themeFillShade="BF"/>
            <w:vAlign w:val="center"/>
          </w:tcPr>
          <w:p w14:paraId="07C6950E" w14:textId="77777777" w:rsidR="00CB789E"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Kategoria wód</w:t>
            </w:r>
          </w:p>
        </w:tc>
        <w:tc>
          <w:tcPr>
            <w:tcW w:w="4309" w:type="pct"/>
            <w:gridSpan w:val="6"/>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850E6AB" w14:textId="77777777" w:rsidR="00CB789E"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 xml:space="preserve">Liczba </w:t>
            </w:r>
            <w:proofErr w:type="spellStart"/>
            <w:r>
              <w:rPr>
                <w:rFonts w:cstheme="minorHAnsi"/>
                <w:b/>
                <w:bCs/>
                <w:color w:val="FFFFFF" w:themeColor="background1"/>
                <w:sz w:val="20"/>
                <w:szCs w:val="20"/>
              </w:rPr>
              <w:t>ppk</w:t>
            </w:r>
            <w:proofErr w:type="spellEnd"/>
            <w:r>
              <w:rPr>
                <w:rFonts w:cstheme="minorHAnsi"/>
                <w:b/>
                <w:bCs/>
                <w:color w:val="FFFFFF" w:themeColor="background1"/>
                <w:sz w:val="20"/>
                <w:szCs w:val="20"/>
              </w:rPr>
              <w:t xml:space="preserve"> o tendencji zmian stanu troficznego</w:t>
            </w:r>
          </w:p>
        </w:tc>
      </w:tr>
      <w:tr w:rsidR="00CB789E" w:rsidRPr="003954B6" w14:paraId="1C129379" w14:textId="77777777" w:rsidTr="00C24687">
        <w:trPr>
          <w:cantSplit/>
          <w:trHeight w:hRule="exact" w:val="821"/>
        </w:trPr>
        <w:tc>
          <w:tcPr>
            <w:tcW w:w="691" w:type="pct"/>
            <w:vMerge/>
            <w:tcBorders>
              <w:left w:val="single" w:sz="4" w:space="0" w:color="auto"/>
              <w:bottom w:val="single" w:sz="4" w:space="0" w:color="auto"/>
              <w:right w:val="single" w:sz="4" w:space="0" w:color="auto"/>
            </w:tcBorders>
            <w:shd w:val="clear" w:color="auto" w:fill="2F5496" w:themeFill="accent1" w:themeFillShade="BF"/>
            <w:hideMark/>
          </w:tcPr>
          <w:p w14:paraId="69E454FE" w14:textId="77777777" w:rsidR="00CB789E" w:rsidRPr="003954B6" w:rsidRDefault="00CB789E" w:rsidP="00C24687">
            <w:pPr>
              <w:spacing w:beforeLines="120" w:before="288" w:line="276" w:lineRule="auto"/>
              <w:contextualSpacing/>
              <w:jc w:val="center"/>
              <w:rPr>
                <w:rFonts w:cstheme="minorHAnsi"/>
                <w:color w:val="FFFFFF" w:themeColor="background1"/>
                <w:sz w:val="20"/>
                <w:szCs w:val="20"/>
              </w:rPr>
            </w:pPr>
          </w:p>
        </w:tc>
        <w:tc>
          <w:tcPr>
            <w:tcW w:w="71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779D8CC2" w14:textId="77777777" w:rsidR="00CB789E" w:rsidRPr="003954B6" w:rsidRDefault="00CB789E" w:rsidP="00C24687">
            <w:pPr>
              <w:spacing w:beforeLines="120" w:before="288" w:line="276" w:lineRule="auto"/>
              <w:contextualSpacing/>
              <w:jc w:val="center"/>
              <w:rPr>
                <w:rFonts w:cstheme="minorHAnsi"/>
                <w:color w:val="FFFFFF" w:themeColor="background1"/>
                <w:sz w:val="20"/>
                <w:szCs w:val="20"/>
              </w:rPr>
            </w:pPr>
            <w:r w:rsidRPr="00921A09">
              <w:rPr>
                <w:rFonts w:cstheme="minorHAnsi"/>
                <w:b/>
                <w:bCs/>
                <w:color w:val="FFFFFF" w:themeColor="background1"/>
                <w:sz w:val="20"/>
                <w:szCs w:val="20"/>
              </w:rPr>
              <w:t>silny wzrost</w:t>
            </w:r>
          </w:p>
        </w:tc>
        <w:tc>
          <w:tcPr>
            <w:tcW w:w="718"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722DE250"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niewielki</w:t>
            </w:r>
            <w:r w:rsidRPr="00921A09">
              <w:rPr>
                <w:rFonts w:cstheme="minorHAnsi"/>
                <w:b/>
                <w:bCs/>
                <w:color w:val="FFFFFF" w:themeColor="background1"/>
                <w:sz w:val="20"/>
                <w:szCs w:val="20"/>
              </w:rPr>
              <w:t xml:space="preserve"> wzrost</w:t>
            </w:r>
          </w:p>
        </w:tc>
        <w:tc>
          <w:tcPr>
            <w:tcW w:w="71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550105F"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wzrost</w:t>
            </w:r>
          </w:p>
        </w:tc>
        <w:tc>
          <w:tcPr>
            <w:tcW w:w="719"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B90E959"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stabilizacja</w:t>
            </w:r>
          </w:p>
        </w:tc>
        <w:tc>
          <w:tcPr>
            <w:tcW w:w="718"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1154D733"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niewielki spadek</w:t>
            </w:r>
          </w:p>
        </w:tc>
        <w:tc>
          <w:tcPr>
            <w:tcW w:w="716" w:type="pct"/>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7ED06729" w14:textId="77777777" w:rsidR="00CB789E" w:rsidRPr="003954B6" w:rsidRDefault="00CB789E" w:rsidP="00C24687">
            <w:pPr>
              <w:spacing w:beforeLines="120" w:before="288" w:line="276" w:lineRule="auto"/>
              <w:contextualSpacing/>
              <w:jc w:val="center"/>
              <w:rPr>
                <w:rFonts w:cstheme="minorHAnsi"/>
                <w:b/>
                <w:bCs/>
                <w:color w:val="FFFFFF" w:themeColor="background1"/>
                <w:sz w:val="20"/>
                <w:szCs w:val="20"/>
              </w:rPr>
            </w:pPr>
            <w:r>
              <w:rPr>
                <w:rFonts w:cstheme="minorHAnsi"/>
                <w:b/>
                <w:bCs/>
                <w:color w:val="FFFFFF" w:themeColor="background1"/>
                <w:sz w:val="20"/>
                <w:szCs w:val="20"/>
              </w:rPr>
              <w:t>silny spadek</w:t>
            </w:r>
          </w:p>
        </w:tc>
      </w:tr>
      <w:tr w:rsidR="00CB789E" w:rsidRPr="00E70F65" w14:paraId="2DF2C6CE" w14:textId="77777777" w:rsidTr="00C24687">
        <w:trPr>
          <w:cantSplit/>
          <w:trHeight w:hRule="exact" w:val="567"/>
        </w:trPr>
        <w:tc>
          <w:tcPr>
            <w:tcW w:w="691" w:type="pct"/>
            <w:tcBorders>
              <w:top w:val="single" w:sz="4" w:space="0" w:color="auto"/>
              <w:left w:val="single" w:sz="4" w:space="0" w:color="auto"/>
              <w:bottom w:val="single" w:sz="4" w:space="0" w:color="auto"/>
              <w:right w:val="single" w:sz="4" w:space="0" w:color="auto"/>
            </w:tcBorders>
            <w:vAlign w:val="center"/>
            <w:hideMark/>
          </w:tcPr>
          <w:p w14:paraId="0FB03AF0"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Rzeki</w:t>
            </w:r>
          </w:p>
        </w:tc>
        <w:tc>
          <w:tcPr>
            <w:tcW w:w="719" w:type="pct"/>
            <w:tcBorders>
              <w:top w:val="single" w:sz="4" w:space="0" w:color="auto"/>
              <w:left w:val="single" w:sz="4" w:space="0" w:color="auto"/>
              <w:bottom w:val="single" w:sz="4" w:space="0" w:color="auto"/>
              <w:right w:val="single" w:sz="4" w:space="0" w:color="auto"/>
            </w:tcBorders>
            <w:vAlign w:val="center"/>
          </w:tcPr>
          <w:p w14:paraId="76D1C294"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2</w:t>
            </w:r>
          </w:p>
        </w:tc>
        <w:tc>
          <w:tcPr>
            <w:tcW w:w="718" w:type="pct"/>
            <w:tcBorders>
              <w:top w:val="single" w:sz="4" w:space="0" w:color="auto"/>
              <w:left w:val="single" w:sz="4" w:space="0" w:color="auto"/>
              <w:bottom w:val="single" w:sz="4" w:space="0" w:color="auto"/>
              <w:right w:val="single" w:sz="4" w:space="0" w:color="auto"/>
            </w:tcBorders>
            <w:vAlign w:val="center"/>
          </w:tcPr>
          <w:p w14:paraId="6822AD36"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8</w:t>
            </w:r>
          </w:p>
        </w:tc>
        <w:tc>
          <w:tcPr>
            <w:tcW w:w="719" w:type="pct"/>
            <w:tcBorders>
              <w:top w:val="single" w:sz="4" w:space="0" w:color="auto"/>
              <w:left w:val="single" w:sz="4" w:space="0" w:color="auto"/>
              <w:bottom w:val="single" w:sz="4" w:space="0" w:color="auto"/>
              <w:right w:val="single" w:sz="4" w:space="0" w:color="auto"/>
            </w:tcBorders>
            <w:vAlign w:val="center"/>
          </w:tcPr>
          <w:p w14:paraId="155BDDCA"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34</w:t>
            </w:r>
          </w:p>
        </w:tc>
        <w:tc>
          <w:tcPr>
            <w:tcW w:w="719" w:type="pct"/>
            <w:tcBorders>
              <w:top w:val="single" w:sz="4" w:space="0" w:color="auto"/>
              <w:left w:val="single" w:sz="4" w:space="0" w:color="auto"/>
              <w:bottom w:val="single" w:sz="4" w:space="0" w:color="auto"/>
              <w:right w:val="single" w:sz="4" w:space="0" w:color="auto"/>
            </w:tcBorders>
            <w:vAlign w:val="center"/>
          </w:tcPr>
          <w:p w14:paraId="00585AD0"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448</w:t>
            </w:r>
          </w:p>
        </w:tc>
        <w:tc>
          <w:tcPr>
            <w:tcW w:w="718" w:type="pct"/>
            <w:tcBorders>
              <w:top w:val="single" w:sz="4" w:space="0" w:color="auto"/>
              <w:left w:val="single" w:sz="4" w:space="0" w:color="auto"/>
              <w:bottom w:val="single" w:sz="4" w:space="0" w:color="auto"/>
              <w:right w:val="single" w:sz="4" w:space="0" w:color="auto"/>
            </w:tcBorders>
            <w:vAlign w:val="center"/>
          </w:tcPr>
          <w:p w14:paraId="58A09B87" w14:textId="77777777" w:rsidR="00CB789E" w:rsidRPr="00D72B21" w:rsidRDefault="00CB789E" w:rsidP="00C24687">
            <w:pPr>
              <w:spacing w:beforeLines="120" w:before="288" w:line="276" w:lineRule="auto"/>
              <w:contextualSpacing/>
              <w:jc w:val="center"/>
              <w:rPr>
                <w:rFonts w:cstheme="minorHAnsi"/>
                <w:sz w:val="20"/>
                <w:szCs w:val="20"/>
              </w:rPr>
            </w:pPr>
            <w:r w:rsidRPr="00D72B21">
              <w:rPr>
                <w:sz w:val="20"/>
                <w:szCs w:val="20"/>
              </w:rPr>
              <w:t>252</w:t>
            </w:r>
          </w:p>
        </w:tc>
        <w:tc>
          <w:tcPr>
            <w:tcW w:w="716" w:type="pct"/>
            <w:tcBorders>
              <w:top w:val="single" w:sz="4" w:space="0" w:color="auto"/>
              <w:left w:val="single" w:sz="4" w:space="0" w:color="auto"/>
              <w:bottom w:val="single" w:sz="4" w:space="0" w:color="auto"/>
              <w:right w:val="single" w:sz="4" w:space="0" w:color="auto"/>
            </w:tcBorders>
            <w:vAlign w:val="center"/>
          </w:tcPr>
          <w:p w14:paraId="247B6C34"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50</w:t>
            </w:r>
          </w:p>
        </w:tc>
      </w:tr>
      <w:tr w:rsidR="00CB789E" w:rsidRPr="00E70F65" w14:paraId="0E5F9F30" w14:textId="77777777" w:rsidTr="00C24687">
        <w:trPr>
          <w:cantSplit/>
          <w:trHeight w:hRule="exact" w:val="567"/>
        </w:trPr>
        <w:tc>
          <w:tcPr>
            <w:tcW w:w="691" w:type="pct"/>
            <w:tcBorders>
              <w:top w:val="single" w:sz="4" w:space="0" w:color="auto"/>
              <w:left w:val="single" w:sz="4" w:space="0" w:color="auto"/>
              <w:bottom w:val="single" w:sz="4" w:space="0" w:color="auto"/>
              <w:right w:val="single" w:sz="4" w:space="0" w:color="auto"/>
            </w:tcBorders>
            <w:vAlign w:val="center"/>
            <w:hideMark/>
          </w:tcPr>
          <w:p w14:paraId="55C1A45A"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Jeziora</w:t>
            </w:r>
          </w:p>
        </w:tc>
        <w:tc>
          <w:tcPr>
            <w:tcW w:w="719" w:type="pct"/>
            <w:tcBorders>
              <w:top w:val="single" w:sz="4" w:space="0" w:color="auto"/>
              <w:left w:val="single" w:sz="4" w:space="0" w:color="auto"/>
              <w:bottom w:val="single" w:sz="4" w:space="0" w:color="auto"/>
              <w:right w:val="single" w:sz="4" w:space="0" w:color="auto"/>
            </w:tcBorders>
            <w:vAlign w:val="center"/>
          </w:tcPr>
          <w:p w14:paraId="00CAF088"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12</w:t>
            </w:r>
          </w:p>
        </w:tc>
        <w:tc>
          <w:tcPr>
            <w:tcW w:w="718" w:type="pct"/>
            <w:tcBorders>
              <w:top w:val="single" w:sz="4" w:space="0" w:color="auto"/>
              <w:left w:val="single" w:sz="4" w:space="0" w:color="auto"/>
              <w:bottom w:val="single" w:sz="4" w:space="0" w:color="auto"/>
              <w:right w:val="single" w:sz="4" w:space="0" w:color="auto"/>
            </w:tcBorders>
            <w:vAlign w:val="center"/>
          </w:tcPr>
          <w:p w14:paraId="047A5119"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0</w:t>
            </w:r>
          </w:p>
        </w:tc>
        <w:tc>
          <w:tcPr>
            <w:tcW w:w="719" w:type="pct"/>
            <w:tcBorders>
              <w:top w:val="single" w:sz="4" w:space="0" w:color="auto"/>
              <w:left w:val="single" w:sz="4" w:space="0" w:color="auto"/>
              <w:bottom w:val="single" w:sz="4" w:space="0" w:color="auto"/>
              <w:right w:val="single" w:sz="4" w:space="0" w:color="auto"/>
            </w:tcBorders>
            <w:vAlign w:val="center"/>
          </w:tcPr>
          <w:p w14:paraId="6385EEB1"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39</w:t>
            </w:r>
          </w:p>
        </w:tc>
        <w:tc>
          <w:tcPr>
            <w:tcW w:w="719" w:type="pct"/>
            <w:tcBorders>
              <w:top w:val="single" w:sz="4" w:space="0" w:color="auto"/>
              <w:left w:val="single" w:sz="4" w:space="0" w:color="auto"/>
              <w:bottom w:val="single" w:sz="4" w:space="0" w:color="auto"/>
              <w:right w:val="single" w:sz="4" w:space="0" w:color="auto"/>
            </w:tcBorders>
            <w:vAlign w:val="center"/>
          </w:tcPr>
          <w:p w14:paraId="2422F3FF"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103</w:t>
            </w:r>
          </w:p>
        </w:tc>
        <w:tc>
          <w:tcPr>
            <w:tcW w:w="718" w:type="pct"/>
            <w:tcBorders>
              <w:top w:val="single" w:sz="4" w:space="0" w:color="auto"/>
              <w:left w:val="single" w:sz="4" w:space="0" w:color="auto"/>
              <w:bottom w:val="single" w:sz="4" w:space="0" w:color="auto"/>
              <w:right w:val="single" w:sz="4" w:space="0" w:color="auto"/>
            </w:tcBorders>
            <w:vAlign w:val="center"/>
          </w:tcPr>
          <w:p w14:paraId="6BF7433E" w14:textId="77777777" w:rsidR="00CB789E" w:rsidRPr="00D72B21" w:rsidRDefault="00CB789E" w:rsidP="00C24687">
            <w:pPr>
              <w:spacing w:beforeLines="120" w:before="288" w:line="276" w:lineRule="auto"/>
              <w:contextualSpacing/>
              <w:jc w:val="center"/>
              <w:rPr>
                <w:rFonts w:cstheme="minorHAnsi"/>
                <w:sz w:val="20"/>
                <w:szCs w:val="20"/>
              </w:rPr>
            </w:pPr>
            <w:r w:rsidRPr="00D72B21">
              <w:rPr>
                <w:sz w:val="20"/>
                <w:szCs w:val="20"/>
              </w:rPr>
              <w:t>3</w:t>
            </w:r>
          </w:p>
        </w:tc>
        <w:tc>
          <w:tcPr>
            <w:tcW w:w="716" w:type="pct"/>
            <w:tcBorders>
              <w:top w:val="single" w:sz="4" w:space="0" w:color="auto"/>
              <w:left w:val="single" w:sz="4" w:space="0" w:color="auto"/>
              <w:bottom w:val="single" w:sz="4" w:space="0" w:color="auto"/>
              <w:right w:val="single" w:sz="4" w:space="0" w:color="auto"/>
            </w:tcBorders>
            <w:vAlign w:val="center"/>
          </w:tcPr>
          <w:p w14:paraId="07DB97EA"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2</w:t>
            </w:r>
          </w:p>
        </w:tc>
      </w:tr>
      <w:tr w:rsidR="00CB789E" w:rsidRPr="00E70F65" w14:paraId="3B671A38" w14:textId="77777777" w:rsidTr="00C24687">
        <w:trPr>
          <w:cantSplit/>
          <w:trHeight w:hRule="exact" w:val="587"/>
        </w:trPr>
        <w:tc>
          <w:tcPr>
            <w:tcW w:w="691" w:type="pct"/>
            <w:tcBorders>
              <w:top w:val="single" w:sz="4" w:space="0" w:color="auto"/>
              <w:left w:val="single" w:sz="4" w:space="0" w:color="auto"/>
              <w:bottom w:val="single" w:sz="4" w:space="0" w:color="auto"/>
              <w:right w:val="single" w:sz="4" w:space="0" w:color="auto"/>
            </w:tcBorders>
            <w:vAlign w:val="center"/>
          </w:tcPr>
          <w:p w14:paraId="056AAA3D"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Wody przejściowe</w:t>
            </w:r>
          </w:p>
        </w:tc>
        <w:tc>
          <w:tcPr>
            <w:tcW w:w="719" w:type="pct"/>
            <w:tcBorders>
              <w:top w:val="single" w:sz="4" w:space="0" w:color="auto"/>
              <w:left w:val="single" w:sz="4" w:space="0" w:color="auto"/>
              <w:bottom w:val="single" w:sz="4" w:space="0" w:color="auto"/>
              <w:right w:val="single" w:sz="4" w:space="0" w:color="auto"/>
            </w:tcBorders>
            <w:vAlign w:val="center"/>
          </w:tcPr>
          <w:p w14:paraId="6811A9AB"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0</w:t>
            </w:r>
          </w:p>
        </w:tc>
        <w:tc>
          <w:tcPr>
            <w:tcW w:w="718" w:type="pct"/>
            <w:tcBorders>
              <w:top w:val="single" w:sz="4" w:space="0" w:color="auto"/>
              <w:left w:val="single" w:sz="4" w:space="0" w:color="auto"/>
              <w:bottom w:val="single" w:sz="4" w:space="0" w:color="auto"/>
              <w:right w:val="single" w:sz="4" w:space="0" w:color="auto"/>
            </w:tcBorders>
            <w:vAlign w:val="center"/>
          </w:tcPr>
          <w:p w14:paraId="08A6F837"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1</w:t>
            </w:r>
          </w:p>
        </w:tc>
        <w:tc>
          <w:tcPr>
            <w:tcW w:w="719" w:type="pct"/>
            <w:tcBorders>
              <w:top w:val="single" w:sz="4" w:space="0" w:color="auto"/>
              <w:left w:val="single" w:sz="4" w:space="0" w:color="auto"/>
              <w:bottom w:val="single" w:sz="4" w:space="0" w:color="auto"/>
              <w:right w:val="single" w:sz="4" w:space="0" w:color="auto"/>
            </w:tcBorders>
            <w:vAlign w:val="center"/>
          </w:tcPr>
          <w:p w14:paraId="088D0976"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0</w:t>
            </w:r>
          </w:p>
        </w:tc>
        <w:tc>
          <w:tcPr>
            <w:tcW w:w="719" w:type="pct"/>
            <w:tcBorders>
              <w:top w:val="single" w:sz="4" w:space="0" w:color="auto"/>
              <w:left w:val="single" w:sz="4" w:space="0" w:color="auto"/>
              <w:bottom w:val="single" w:sz="4" w:space="0" w:color="auto"/>
              <w:right w:val="single" w:sz="4" w:space="0" w:color="auto"/>
            </w:tcBorders>
            <w:vAlign w:val="center"/>
          </w:tcPr>
          <w:p w14:paraId="25B09F2D"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4</w:t>
            </w:r>
          </w:p>
        </w:tc>
        <w:tc>
          <w:tcPr>
            <w:tcW w:w="718" w:type="pct"/>
            <w:tcBorders>
              <w:top w:val="single" w:sz="4" w:space="0" w:color="auto"/>
              <w:left w:val="single" w:sz="4" w:space="0" w:color="auto"/>
              <w:bottom w:val="single" w:sz="4" w:space="0" w:color="auto"/>
              <w:right w:val="single" w:sz="4" w:space="0" w:color="auto"/>
            </w:tcBorders>
            <w:vAlign w:val="center"/>
          </w:tcPr>
          <w:p w14:paraId="03D75ABE" w14:textId="77777777" w:rsidR="00CB789E" w:rsidRPr="00D72B21" w:rsidRDefault="00CB789E" w:rsidP="00C24687">
            <w:pPr>
              <w:spacing w:beforeLines="120" w:before="288" w:line="276" w:lineRule="auto"/>
              <w:contextualSpacing/>
              <w:jc w:val="center"/>
              <w:rPr>
                <w:rFonts w:cstheme="minorHAnsi"/>
                <w:sz w:val="20"/>
                <w:szCs w:val="20"/>
              </w:rPr>
            </w:pPr>
            <w:r w:rsidRPr="00D72B21">
              <w:rPr>
                <w:sz w:val="20"/>
                <w:szCs w:val="20"/>
              </w:rPr>
              <w:t>2</w:t>
            </w:r>
          </w:p>
        </w:tc>
        <w:tc>
          <w:tcPr>
            <w:tcW w:w="716" w:type="pct"/>
            <w:tcBorders>
              <w:top w:val="single" w:sz="4" w:space="0" w:color="auto"/>
              <w:left w:val="single" w:sz="4" w:space="0" w:color="auto"/>
              <w:bottom w:val="single" w:sz="4" w:space="0" w:color="auto"/>
              <w:right w:val="single" w:sz="4" w:space="0" w:color="auto"/>
            </w:tcBorders>
            <w:vAlign w:val="center"/>
          </w:tcPr>
          <w:p w14:paraId="77C0D2E2"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0</w:t>
            </w:r>
          </w:p>
        </w:tc>
      </w:tr>
      <w:tr w:rsidR="00CB789E" w:rsidRPr="00E70F65" w14:paraId="4746FEA1" w14:textId="77777777" w:rsidTr="00C24687">
        <w:trPr>
          <w:cantSplit/>
          <w:trHeight w:hRule="exact" w:val="567"/>
        </w:trPr>
        <w:tc>
          <w:tcPr>
            <w:tcW w:w="691" w:type="pct"/>
            <w:tcBorders>
              <w:top w:val="single" w:sz="4" w:space="0" w:color="auto"/>
              <w:left w:val="single" w:sz="4" w:space="0" w:color="auto"/>
              <w:bottom w:val="single" w:sz="4" w:space="0" w:color="auto"/>
              <w:right w:val="single" w:sz="4" w:space="0" w:color="auto"/>
            </w:tcBorders>
            <w:vAlign w:val="center"/>
          </w:tcPr>
          <w:p w14:paraId="7D65A264" w14:textId="77777777" w:rsidR="00CB789E" w:rsidRDefault="00CB789E" w:rsidP="00C24687">
            <w:pPr>
              <w:spacing w:beforeLines="120" w:before="288" w:line="276" w:lineRule="auto"/>
              <w:contextualSpacing/>
              <w:jc w:val="center"/>
              <w:rPr>
                <w:rFonts w:cstheme="minorHAnsi"/>
                <w:sz w:val="20"/>
                <w:szCs w:val="20"/>
              </w:rPr>
            </w:pPr>
            <w:r>
              <w:rPr>
                <w:rFonts w:cstheme="minorHAnsi"/>
                <w:sz w:val="20"/>
                <w:szCs w:val="20"/>
              </w:rPr>
              <w:t>Wody przybrzeżne</w:t>
            </w:r>
          </w:p>
        </w:tc>
        <w:tc>
          <w:tcPr>
            <w:tcW w:w="719" w:type="pct"/>
            <w:tcBorders>
              <w:top w:val="single" w:sz="4" w:space="0" w:color="auto"/>
              <w:left w:val="single" w:sz="4" w:space="0" w:color="auto"/>
              <w:bottom w:val="single" w:sz="4" w:space="0" w:color="auto"/>
              <w:right w:val="single" w:sz="4" w:space="0" w:color="auto"/>
            </w:tcBorders>
            <w:vAlign w:val="center"/>
          </w:tcPr>
          <w:p w14:paraId="3F13E48B"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2</w:t>
            </w:r>
          </w:p>
        </w:tc>
        <w:tc>
          <w:tcPr>
            <w:tcW w:w="718" w:type="pct"/>
            <w:tcBorders>
              <w:top w:val="single" w:sz="4" w:space="0" w:color="auto"/>
              <w:left w:val="single" w:sz="4" w:space="0" w:color="auto"/>
              <w:bottom w:val="single" w:sz="4" w:space="0" w:color="auto"/>
              <w:right w:val="single" w:sz="4" w:space="0" w:color="auto"/>
            </w:tcBorders>
            <w:vAlign w:val="center"/>
          </w:tcPr>
          <w:p w14:paraId="7933790A"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3</w:t>
            </w:r>
          </w:p>
        </w:tc>
        <w:tc>
          <w:tcPr>
            <w:tcW w:w="719" w:type="pct"/>
            <w:tcBorders>
              <w:top w:val="single" w:sz="4" w:space="0" w:color="auto"/>
              <w:left w:val="single" w:sz="4" w:space="0" w:color="auto"/>
              <w:bottom w:val="single" w:sz="4" w:space="0" w:color="auto"/>
              <w:right w:val="single" w:sz="4" w:space="0" w:color="auto"/>
            </w:tcBorders>
            <w:vAlign w:val="center"/>
          </w:tcPr>
          <w:p w14:paraId="46B77EF3"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0</w:t>
            </w:r>
          </w:p>
        </w:tc>
        <w:tc>
          <w:tcPr>
            <w:tcW w:w="719" w:type="pct"/>
            <w:tcBorders>
              <w:top w:val="single" w:sz="4" w:space="0" w:color="auto"/>
              <w:left w:val="single" w:sz="4" w:space="0" w:color="auto"/>
              <w:bottom w:val="single" w:sz="4" w:space="0" w:color="auto"/>
              <w:right w:val="single" w:sz="4" w:space="0" w:color="auto"/>
            </w:tcBorders>
            <w:vAlign w:val="center"/>
          </w:tcPr>
          <w:p w14:paraId="088E161C"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5</w:t>
            </w:r>
          </w:p>
        </w:tc>
        <w:tc>
          <w:tcPr>
            <w:tcW w:w="718" w:type="pct"/>
            <w:tcBorders>
              <w:top w:val="single" w:sz="4" w:space="0" w:color="auto"/>
              <w:left w:val="single" w:sz="4" w:space="0" w:color="auto"/>
              <w:bottom w:val="single" w:sz="4" w:space="0" w:color="auto"/>
              <w:right w:val="single" w:sz="4" w:space="0" w:color="auto"/>
            </w:tcBorders>
            <w:vAlign w:val="center"/>
          </w:tcPr>
          <w:p w14:paraId="4DF2DDE1" w14:textId="77777777" w:rsidR="00CB789E" w:rsidRPr="00D72B21" w:rsidRDefault="00CB789E" w:rsidP="00C24687">
            <w:pPr>
              <w:spacing w:beforeLines="120" w:before="288" w:line="276" w:lineRule="auto"/>
              <w:contextualSpacing/>
              <w:jc w:val="center"/>
              <w:rPr>
                <w:rFonts w:cstheme="minorHAnsi"/>
                <w:sz w:val="20"/>
                <w:szCs w:val="20"/>
              </w:rPr>
            </w:pPr>
            <w:r w:rsidRPr="00D72B21">
              <w:rPr>
                <w:sz w:val="20"/>
                <w:szCs w:val="20"/>
              </w:rPr>
              <w:t>2</w:t>
            </w:r>
          </w:p>
        </w:tc>
        <w:tc>
          <w:tcPr>
            <w:tcW w:w="716" w:type="pct"/>
            <w:tcBorders>
              <w:top w:val="single" w:sz="4" w:space="0" w:color="auto"/>
              <w:left w:val="single" w:sz="4" w:space="0" w:color="auto"/>
              <w:bottom w:val="single" w:sz="4" w:space="0" w:color="auto"/>
              <w:right w:val="single" w:sz="4" w:space="0" w:color="auto"/>
            </w:tcBorders>
            <w:vAlign w:val="center"/>
          </w:tcPr>
          <w:p w14:paraId="7936D2EE"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0</w:t>
            </w:r>
          </w:p>
        </w:tc>
      </w:tr>
      <w:tr w:rsidR="00CB789E" w:rsidRPr="00E70F65" w14:paraId="0CAFF4B5" w14:textId="77777777" w:rsidTr="00C24687">
        <w:trPr>
          <w:cantSplit/>
          <w:trHeight w:hRule="exact" w:val="567"/>
        </w:trPr>
        <w:tc>
          <w:tcPr>
            <w:tcW w:w="691" w:type="pct"/>
            <w:tcBorders>
              <w:top w:val="single" w:sz="4" w:space="0" w:color="auto"/>
              <w:left w:val="single" w:sz="4" w:space="0" w:color="auto"/>
              <w:bottom w:val="single" w:sz="4" w:space="0" w:color="auto"/>
              <w:right w:val="single" w:sz="4" w:space="0" w:color="auto"/>
            </w:tcBorders>
            <w:vAlign w:val="center"/>
            <w:hideMark/>
          </w:tcPr>
          <w:p w14:paraId="09A33E3C" w14:textId="77777777" w:rsidR="00CB789E" w:rsidRPr="00E70F65" w:rsidRDefault="00CB789E" w:rsidP="00C24687">
            <w:pPr>
              <w:spacing w:beforeLines="120" w:before="288" w:line="276" w:lineRule="auto"/>
              <w:contextualSpacing/>
              <w:jc w:val="center"/>
              <w:rPr>
                <w:rFonts w:cstheme="minorHAnsi"/>
                <w:sz w:val="20"/>
                <w:szCs w:val="20"/>
              </w:rPr>
            </w:pPr>
            <w:r>
              <w:rPr>
                <w:rFonts w:cstheme="minorHAnsi"/>
                <w:sz w:val="20"/>
                <w:szCs w:val="20"/>
              </w:rPr>
              <w:t>Ogółem</w:t>
            </w:r>
          </w:p>
        </w:tc>
        <w:tc>
          <w:tcPr>
            <w:tcW w:w="719" w:type="pct"/>
            <w:tcBorders>
              <w:top w:val="single" w:sz="4" w:space="0" w:color="auto"/>
              <w:left w:val="single" w:sz="4" w:space="0" w:color="auto"/>
              <w:bottom w:val="single" w:sz="4" w:space="0" w:color="auto"/>
              <w:right w:val="single" w:sz="4" w:space="0" w:color="auto"/>
            </w:tcBorders>
            <w:vAlign w:val="center"/>
          </w:tcPr>
          <w:p w14:paraId="56972BCF"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16</w:t>
            </w:r>
          </w:p>
        </w:tc>
        <w:tc>
          <w:tcPr>
            <w:tcW w:w="718" w:type="pct"/>
            <w:tcBorders>
              <w:top w:val="single" w:sz="4" w:space="0" w:color="auto"/>
              <w:left w:val="single" w:sz="4" w:space="0" w:color="auto"/>
              <w:bottom w:val="single" w:sz="4" w:space="0" w:color="auto"/>
              <w:right w:val="single" w:sz="4" w:space="0" w:color="auto"/>
            </w:tcBorders>
            <w:vAlign w:val="center"/>
          </w:tcPr>
          <w:p w14:paraId="00787DE5"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12</w:t>
            </w:r>
          </w:p>
        </w:tc>
        <w:tc>
          <w:tcPr>
            <w:tcW w:w="719" w:type="pct"/>
            <w:tcBorders>
              <w:top w:val="single" w:sz="4" w:space="0" w:color="auto"/>
              <w:left w:val="single" w:sz="4" w:space="0" w:color="auto"/>
              <w:bottom w:val="single" w:sz="4" w:space="0" w:color="auto"/>
              <w:right w:val="single" w:sz="4" w:space="0" w:color="auto"/>
            </w:tcBorders>
            <w:vAlign w:val="center"/>
          </w:tcPr>
          <w:p w14:paraId="29825791" w14:textId="77777777" w:rsidR="00CB789E" w:rsidRPr="002A2879" w:rsidRDefault="00CB789E" w:rsidP="00C24687">
            <w:pPr>
              <w:spacing w:beforeLines="120" w:before="288" w:line="276" w:lineRule="auto"/>
              <w:contextualSpacing/>
              <w:jc w:val="center"/>
              <w:rPr>
                <w:rFonts w:cstheme="minorHAnsi"/>
                <w:sz w:val="20"/>
                <w:szCs w:val="20"/>
              </w:rPr>
            </w:pPr>
            <w:r w:rsidRPr="002A2879">
              <w:rPr>
                <w:rFonts w:cstheme="minorHAnsi"/>
                <w:sz w:val="20"/>
                <w:szCs w:val="20"/>
              </w:rPr>
              <w:t>73</w:t>
            </w:r>
          </w:p>
        </w:tc>
        <w:tc>
          <w:tcPr>
            <w:tcW w:w="719" w:type="pct"/>
            <w:tcBorders>
              <w:top w:val="single" w:sz="4" w:space="0" w:color="auto"/>
              <w:left w:val="single" w:sz="4" w:space="0" w:color="auto"/>
              <w:bottom w:val="single" w:sz="4" w:space="0" w:color="auto"/>
              <w:right w:val="single" w:sz="4" w:space="0" w:color="auto"/>
            </w:tcBorders>
            <w:vAlign w:val="center"/>
          </w:tcPr>
          <w:p w14:paraId="086610F3"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560</w:t>
            </w:r>
          </w:p>
        </w:tc>
        <w:tc>
          <w:tcPr>
            <w:tcW w:w="718" w:type="pct"/>
            <w:tcBorders>
              <w:top w:val="single" w:sz="4" w:space="0" w:color="auto"/>
              <w:left w:val="single" w:sz="4" w:space="0" w:color="auto"/>
              <w:bottom w:val="single" w:sz="4" w:space="0" w:color="auto"/>
              <w:right w:val="single" w:sz="4" w:space="0" w:color="auto"/>
            </w:tcBorders>
            <w:vAlign w:val="center"/>
          </w:tcPr>
          <w:p w14:paraId="4EA4ECE4" w14:textId="77777777" w:rsidR="00CB789E" w:rsidRPr="00D72B21" w:rsidRDefault="00CB789E" w:rsidP="00C24687">
            <w:pPr>
              <w:spacing w:beforeLines="120" w:before="288" w:line="276" w:lineRule="auto"/>
              <w:contextualSpacing/>
              <w:jc w:val="center"/>
              <w:rPr>
                <w:rFonts w:cstheme="minorHAnsi"/>
                <w:sz w:val="20"/>
                <w:szCs w:val="20"/>
              </w:rPr>
            </w:pPr>
            <w:r w:rsidRPr="00D72B21">
              <w:rPr>
                <w:sz w:val="20"/>
                <w:szCs w:val="20"/>
              </w:rPr>
              <w:t>259</w:t>
            </w:r>
          </w:p>
        </w:tc>
        <w:tc>
          <w:tcPr>
            <w:tcW w:w="716" w:type="pct"/>
            <w:tcBorders>
              <w:top w:val="single" w:sz="4" w:space="0" w:color="auto"/>
              <w:left w:val="single" w:sz="4" w:space="0" w:color="auto"/>
              <w:bottom w:val="single" w:sz="4" w:space="0" w:color="auto"/>
              <w:right w:val="single" w:sz="4" w:space="0" w:color="auto"/>
            </w:tcBorders>
            <w:vAlign w:val="center"/>
          </w:tcPr>
          <w:p w14:paraId="2820C846" w14:textId="77777777" w:rsidR="00CB789E" w:rsidRPr="002A2879" w:rsidRDefault="00CB789E" w:rsidP="00C24687">
            <w:pPr>
              <w:spacing w:beforeLines="120" w:before="288" w:line="276" w:lineRule="auto"/>
              <w:contextualSpacing/>
              <w:jc w:val="center"/>
              <w:rPr>
                <w:rFonts w:cstheme="minorHAnsi"/>
                <w:sz w:val="20"/>
                <w:szCs w:val="20"/>
              </w:rPr>
            </w:pPr>
            <w:r>
              <w:rPr>
                <w:rFonts w:cstheme="minorHAnsi"/>
                <w:sz w:val="20"/>
                <w:szCs w:val="20"/>
              </w:rPr>
              <w:t>52</w:t>
            </w:r>
          </w:p>
        </w:tc>
      </w:tr>
    </w:tbl>
    <w:p w14:paraId="554B7DF9" w14:textId="77777777" w:rsidR="00CB789E" w:rsidRDefault="00CB789E" w:rsidP="00CB789E">
      <w:pPr>
        <w:spacing w:before="240"/>
        <w:jc w:val="both"/>
      </w:pPr>
      <w:r>
        <w:t xml:space="preserve">Wyniki przeprowadzonych analiz wskazują na względną stabilizację procesu eutrofizacji wód na obszarze kraju- dla 58% analizowanych </w:t>
      </w:r>
      <w:proofErr w:type="spellStart"/>
      <w:r>
        <w:t>ppk</w:t>
      </w:r>
      <w:proofErr w:type="spellEnd"/>
      <w:r>
        <w:t xml:space="preserve"> określono </w:t>
      </w:r>
      <w:r w:rsidRPr="00D45FDE">
        <w:t>tendencj</w:t>
      </w:r>
      <w:r>
        <w:t>e</w:t>
      </w:r>
      <w:r w:rsidRPr="00D45FDE">
        <w:t xml:space="preserve"> zmian stanu troficznego</w:t>
      </w:r>
      <w:r>
        <w:t xml:space="preserve"> jako stabilizacja. Na ten wynik wpływają głównie ustabilizowane wyniki w </w:t>
      </w:r>
      <w:proofErr w:type="spellStart"/>
      <w:r>
        <w:t>ppk</w:t>
      </w:r>
      <w:proofErr w:type="spellEnd"/>
      <w:r>
        <w:t xml:space="preserve"> zlokalizowanych na ciekach (56% </w:t>
      </w:r>
      <w:proofErr w:type="spellStart"/>
      <w:r>
        <w:t>ppk</w:t>
      </w:r>
      <w:proofErr w:type="spellEnd"/>
      <w:r>
        <w:t xml:space="preserve">). </w:t>
      </w:r>
    </w:p>
    <w:p w14:paraId="4C2C9877" w14:textId="77777777" w:rsidR="00CB789E" w:rsidRDefault="00CB789E" w:rsidP="00CB789E">
      <w:pPr>
        <w:jc w:val="both"/>
      </w:pPr>
      <w:r>
        <w:t xml:space="preserve">Dla 10% </w:t>
      </w:r>
      <w:proofErr w:type="spellStart"/>
      <w:r>
        <w:t>ppk</w:t>
      </w:r>
      <w:proofErr w:type="spellEnd"/>
      <w:r>
        <w:t xml:space="preserve"> w obrębie wszystkich kategorii wód wskazuje się na wystąpienie wzrostowej tendencji zmian stanu troficznego, w tym dla niespełna 2% </w:t>
      </w:r>
      <w:proofErr w:type="spellStart"/>
      <w:r>
        <w:t>ppk</w:t>
      </w:r>
      <w:proofErr w:type="spellEnd"/>
      <w:r>
        <w:t xml:space="preserve"> silną tendencję wzrostową. Niepokojące tendencje wzrostowe stanu troficznego obserwowane są dla </w:t>
      </w:r>
      <w:proofErr w:type="spellStart"/>
      <w:r>
        <w:t>ppk</w:t>
      </w:r>
      <w:proofErr w:type="spellEnd"/>
      <w:r>
        <w:t xml:space="preserve"> zlokalizowanych na jeziorach, tzn. aż 33% </w:t>
      </w:r>
      <w:proofErr w:type="spellStart"/>
      <w:r>
        <w:t>ppk</w:t>
      </w:r>
      <w:proofErr w:type="spellEnd"/>
      <w:r>
        <w:t xml:space="preserve"> wykazuje tendencję wzrostową, w tym 8% silną tendencję wzrostową </w:t>
      </w:r>
      <w:r w:rsidRPr="00D45FDE">
        <w:t>zmian stanu troficznego</w:t>
      </w:r>
      <w:r>
        <w:t xml:space="preserve">. </w:t>
      </w:r>
    </w:p>
    <w:p w14:paraId="65E1F35B" w14:textId="77777777" w:rsidR="00CB789E" w:rsidRDefault="00CB789E" w:rsidP="00CB789E">
      <w:pPr>
        <w:jc w:val="both"/>
      </w:pPr>
      <w:r>
        <w:t xml:space="preserve">Tendencje spadkowe zaobserwowano w 32% analizowanych </w:t>
      </w:r>
      <w:proofErr w:type="spellStart"/>
      <w:r>
        <w:t>ppk</w:t>
      </w:r>
      <w:proofErr w:type="spellEnd"/>
      <w:r>
        <w:t xml:space="preserve">, w tym w 5% </w:t>
      </w:r>
      <w:proofErr w:type="spellStart"/>
      <w:r>
        <w:t>ppk</w:t>
      </w:r>
      <w:proofErr w:type="spellEnd"/>
      <w:r>
        <w:t xml:space="preserve"> był to silny spadek. Pod względem podziału na kategorie wód, większość </w:t>
      </w:r>
      <w:proofErr w:type="spellStart"/>
      <w:r>
        <w:t>ppk</w:t>
      </w:r>
      <w:proofErr w:type="spellEnd"/>
      <w:r>
        <w:t xml:space="preserve"> o tym kierunku zmian zlokalizowanych jest na ciekach (38% </w:t>
      </w:r>
      <w:proofErr w:type="spellStart"/>
      <w:r>
        <w:t>ppk</w:t>
      </w:r>
      <w:proofErr w:type="spellEnd"/>
      <w:r>
        <w:t xml:space="preserve">, w tym 6% </w:t>
      </w:r>
      <w:proofErr w:type="spellStart"/>
      <w:r>
        <w:t>ppk</w:t>
      </w:r>
      <w:proofErr w:type="spellEnd"/>
      <w:r>
        <w:t xml:space="preserve"> wykazuje silny spadek).</w:t>
      </w:r>
    </w:p>
    <w:p w14:paraId="2841DA01" w14:textId="77777777" w:rsidR="00CB789E" w:rsidRDefault="00CB789E" w:rsidP="00CB789E">
      <w:pPr>
        <w:jc w:val="both"/>
      </w:pPr>
      <w:r>
        <w:lastRenderedPageBreak/>
        <w:t>Zaobserwowane tendencje zmian eutrofizacji</w:t>
      </w:r>
      <w:r w:rsidRPr="00724054">
        <w:t xml:space="preserve"> </w:t>
      </w:r>
      <w:r>
        <w:t>wód</w:t>
      </w:r>
      <w:r w:rsidRPr="00724054">
        <w:t xml:space="preserve"> powierzchniowych w 2020 r. </w:t>
      </w:r>
      <w:r>
        <w:t xml:space="preserve">względem okresu 2016-2019 </w:t>
      </w:r>
      <w:r w:rsidRPr="00724054">
        <w:t>(we wspólnych punktach pomiarowych) przedstawiono na poniższ</w:t>
      </w:r>
      <w:r>
        <w:t>ej</w:t>
      </w:r>
      <w:r w:rsidRPr="00724054">
        <w:t xml:space="preserve"> map</w:t>
      </w:r>
      <w:r>
        <w:t>ie</w:t>
      </w:r>
      <w:r w:rsidRPr="00724054">
        <w:t>.</w:t>
      </w:r>
    </w:p>
    <w:p w14:paraId="01551A14" w14:textId="164BD0E3" w:rsidR="00CB789E" w:rsidRDefault="003467F0" w:rsidP="00CB789E">
      <w:r w:rsidRPr="00484AE0">
        <w:rPr>
          <w:color w:val="2F5496" w:themeColor="accent1" w:themeShade="BF"/>
          <w:sz w:val="20"/>
          <w:szCs w:val="20"/>
        </w:rPr>
        <w:t xml:space="preserve">Rysunek </w:t>
      </w:r>
      <w:r>
        <w:rPr>
          <w:color w:val="2F5496" w:themeColor="accent1" w:themeShade="BF"/>
          <w:sz w:val="20"/>
          <w:szCs w:val="20"/>
        </w:rPr>
        <w:t>5</w:t>
      </w:r>
      <w:r w:rsidRPr="00484AE0">
        <w:rPr>
          <w:color w:val="2F5496" w:themeColor="accent1" w:themeShade="BF"/>
          <w:sz w:val="20"/>
          <w:szCs w:val="20"/>
        </w:rPr>
        <w:t xml:space="preserve">. </w:t>
      </w:r>
      <w:r>
        <w:rPr>
          <w:color w:val="2F5496" w:themeColor="accent1" w:themeShade="BF"/>
          <w:sz w:val="20"/>
          <w:szCs w:val="20"/>
        </w:rPr>
        <w:t xml:space="preserve">Tendencje zmian stanu troficznego </w:t>
      </w:r>
      <w:r w:rsidR="001436CD">
        <w:rPr>
          <w:color w:val="2F5496" w:themeColor="accent1" w:themeShade="BF"/>
          <w:sz w:val="20"/>
          <w:szCs w:val="20"/>
        </w:rPr>
        <w:t xml:space="preserve">wód powierzchniowych </w:t>
      </w:r>
      <w:r>
        <w:rPr>
          <w:color w:val="2F5496" w:themeColor="accent1" w:themeShade="BF"/>
          <w:sz w:val="20"/>
          <w:szCs w:val="20"/>
        </w:rPr>
        <w:t>w 2020 r.</w:t>
      </w:r>
      <w:r w:rsidRPr="00484AE0">
        <w:rPr>
          <w:color w:val="2F5496" w:themeColor="accent1" w:themeShade="BF"/>
          <w:sz w:val="20"/>
        </w:rPr>
        <w:t xml:space="preserve"> </w:t>
      </w:r>
      <w:r>
        <w:rPr>
          <w:color w:val="2F5496" w:themeColor="accent1" w:themeShade="BF"/>
          <w:sz w:val="20"/>
        </w:rPr>
        <w:t>względem okresu</w:t>
      </w:r>
      <w:r w:rsidRPr="00484AE0">
        <w:rPr>
          <w:color w:val="2F5496" w:themeColor="accent1" w:themeShade="BF"/>
          <w:sz w:val="20"/>
        </w:rPr>
        <w:t xml:space="preserve"> 2016-2019 (we wspólnych punktach pomiarowych</w:t>
      </w:r>
      <w:r>
        <w:rPr>
          <w:color w:val="2F5496" w:themeColor="accent1" w:themeShade="BF"/>
          <w:sz w:val="20"/>
        </w:rPr>
        <w:t>)</w:t>
      </w:r>
    </w:p>
    <w:p w14:paraId="38D63035" w14:textId="77777777" w:rsidR="00CB789E" w:rsidRDefault="00CB789E" w:rsidP="00CB789E">
      <w:r>
        <w:rPr>
          <w:noProof/>
        </w:rPr>
        <w:drawing>
          <wp:inline distT="0" distB="0" distL="0" distR="0" wp14:anchorId="67C16B17" wp14:editId="02363B3C">
            <wp:extent cx="5760720" cy="69875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6987540"/>
                    </a:xfrm>
                    <a:prstGeom prst="rect">
                      <a:avLst/>
                    </a:prstGeom>
                    <a:noFill/>
                    <a:ln>
                      <a:noFill/>
                    </a:ln>
                  </pic:spPr>
                </pic:pic>
              </a:graphicData>
            </a:graphic>
          </wp:inline>
        </w:drawing>
      </w:r>
    </w:p>
    <w:p w14:paraId="0C042AEA" w14:textId="77777777" w:rsidR="00CB789E" w:rsidRPr="0036773C" w:rsidRDefault="00CB789E" w:rsidP="00CB789E">
      <w:pPr>
        <w:jc w:val="both"/>
        <w:rPr>
          <w:sz w:val="20"/>
          <w:szCs w:val="20"/>
        </w:rPr>
      </w:pPr>
      <w:r w:rsidRPr="0036773C">
        <w:rPr>
          <w:sz w:val="20"/>
          <w:szCs w:val="20"/>
        </w:rPr>
        <w:t>Źródło: opracowano na podstawie Oceny eutrofizacji wód w okresie 2016-2019 oraz wyników PMŚ z 2020 r</w:t>
      </w:r>
      <w:r>
        <w:rPr>
          <w:sz w:val="20"/>
          <w:szCs w:val="20"/>
        </w:rPr>
        <w:t>.</w:t>
      </w:r>
    </w:p>
    <w:p w14:paraId="16EF00CB" w14:textId="77777777" w:rsidR="00CB789E" w:rsidRDefault="00CB789E" w:rsidP="00CB789E">
      <w:pPr>
        <w:keepNext/>
        <w:spacing w:after="0"/>
        <w:rPr>
          <w:sz w:val="20"/>
          <w:szCs w:val="20"/>
        </w:rPr>
      </w:pPr>
    </w:p>
    <w:p w14:paraId="69FE1E8C" w14:textId="77777777" w:rsidR="00CB789E" w:rsidRDefault="00CB789E" w:rsidP="00CB789E">
      <w:pPr>
        <w:keepNext/>
        <w:spacing w:after="0"/>
        <w:rPr>
          <w:sz w:val="20"/>
          <w:szCs w:val="20"/>
        </w:rPr>
      </w:pPr>
    </w:p>
    <w:p w14:paraId="54E6C08B" w14:textId="77777777" w:rsidR="00CB789E" w:rsidRDefault="00CB789E" w:rsidP="00CB789E">
      <w:pPr>
        <w:pStyle w:val="Nagwek1"/>
        <w:numPr>
          <w:ilvl w:val="0"/>
          <w:numId w:val="1"/>
        </w:numPr>
      </w:pPr>
      <w:r>
        <w:t>SPIS ZAŁĄCZNIKÓW</w:t>
      </w:r>
    </w:p>
    <w:p w14:paraId="33756C9D" w14:textId="77777777" w:rsidR="00CB789E" w:rsidRDefault="00CB789E" w:rsidP="00CB789E">
      <w:pPr>
        <w:pStyle w:val="Akapitzlist"/>
        <w:numPr>
          <w:ilvl w:val="0"/>
          <w:numId w:val="29"/>
        </w:numPr>
      </w:pPr>
      <w:r>
        <w:t>Wyniki stężeń azotanów w wodach powierzchniowych – zestawienie tabelaryczne.</w:t>
      </w:r>
    </w:p>
    <w:p w14:paraId="3AD48DE4" w14:textId="77777777" w:rsidR="00CB789E" w:rsidRDefault="00CB789E" w:rsidP="00CB789E">
      <w:pPr>
        <w:pStyle w:val="Akapitzlist"/>
        <w:numPr>
          <w:ilvl w:val="0"/>
          <w:numId w:val="29"/>
        </w:numPr>
      </w:pPr>
      <w:r>
        <w:t>Analiza możliwych przyczyn wystąpienia przekroczeń azotanów w okresie 2016-2020 – zestawienie tabelaryczne.</w:t>
      </w:r>
    </w:p>
    <w:p w14:paraId="075428EA" w14:textId="77777777" w:rsidR="00CB789E" w:rsidRPr="00AF340C" w:rsidRDefault="00CB789E" w:rsidP="00CB789E">
      <w:pPr>
        <w:pStyle w:val="Akapitzlist"/>
        <w:numPr>
          <w:ilvl w:val="0"/>
          <w:numId w:val="29"/>
        </w:numPr>
      </w:pPr>
      <w:r>
        <w:t>Wyniki oceny eutrofizacji wód powierzchniowych w 2020 r. wraz z określeniem tendencji zmian eutrofizacji w odniesieniu do okresu 2016-2019.</w:t>
      </w:r>
    </w:p>
    <w:p w14:paraId="42B25E9E" w14:textId="77777777" w:rsidR="00CB789E" w:rsidRPr="007A6F90" w:rsidRDefault="00CB789E" w:rsidP="00CB789E">
      <w:pPr>
        <w:pStyle w:val="Nagwek1"/>
        <w:rPr>
          <w:sz w:val="20"/>
          <w:szCs w:val="20"/>
        </w:rPr>
      </w:pPr>
    </w:p>
    <w:p w14:paraId="1C43055B" w14:textId="52312DC1" w:rsidR="00CB789E" w:rsidRDefault="00CB789E" w:rsidP="002A04BE"/>
    <w:p w14:paraId="43B530B6" w14:textId="191A89AA" w:rsidR="00CB789E" w:rsidRDefault="00CB789E" w:rsidP="002A04BE"/>
    <w:p w14:paraId="7E47022C" w14:textId="77777777" w:rsidR="00A930B3" w:rsidRDefault="00A930B3" w:rsidP="00A930B3"/>
    <w:p w14:paraId="642FE9BD" w14:textId="77777777" w:rsidR="00A930B3" w:rsidRDefault="00A930B3" w:rsidP="00A930B3"/>
    <w:p w14:paraId="1D26D7AF" w14:textId="77777777" w:rsidR="00A930B3" w:rsidRPr="00AF340C" w:rsidRDefault="00A930B3" w:rsidP="00A930B3"/>
    <w:sectPr w:rsidR="00A930B3" w:rsidRPr="00AF340C" w:rsidSect="00AE572F">
      <w:headerReference w:type="default" r:id="rId25"/>
      <w:footerReference w:type="default" r:id="rId26"/>
      <w:headerReference w:type="first" r:id="rId27"/>
      <w:footerReference w:type="firs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AB0DA" w14:textId="77777777" w:rsidR="0091417D" w:rsidRDefault="0091417D" w:rsidP="007D6145">
      <w:pPr>
        <w:spacing w:after="0" w:line="240" w:lineRule="auto"/>
      </w:pPr>
      <w:r>
        <w:separator/>
      </w:r>
    </w:p>
  </w:endnote>
  <w:endnote w:type="continuationSeparator" w:id="0">
    <w:p w14:paraId="1ABB7C5A" w14:textId="77777777" w:rsidR="0091417D" w:rsidRDefault="0091417D" w:rsidP="007D6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Museo Slab 500">
    <w:altName w:val="Calibri"/>
    <w:panose1 w:val="00000000000000000000"/>
    <w:charset w:val="00"/>
    <w:family w:val="modern"/>
    <w:notTrueType/>
    <w:pitch w:val="variable"/>
    <w:sig w:usb0="A00000AF" w:usb1="4000004B" w:usb2="00000000" w:usb3="00000000" w:csb0="00000093" w:csb1="00000000"/>
  </w:font>
  <w:font w:name="ArialNarrow">
    <w:altName w:val="MS Mincho"/>
    <w:charset w:val="00"/>
    <w:family w:val="swiss"/>
    <w:pitch w:val="variable"/>
    <w:sig w:usb0="00000287" w:usb1="080708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664671"/>
      <w:docPartObj>
        <w:docPartGallery w:val="Page Numbers (Bottom of Page)"/>
        <w:docPartUnique/>
      </w:docPartObj>
    </w:sdtPr>
    <w:sdtEndPr/>
    <w:sdtContent>
      <w:p w14:paraId="4B38FEEB" w14:textId="43F49D2D" w:rsidR="00160BD4" w:rsidRDefault="00160BD4">
        <w:pPr>
          <w:pStyle w:val="Stopka"/>
          <w:jc w:val="right"/>
        </w:pPr>
        <w:r>
          <w:fldChar w:fldCharType="begin"/>
        </w:r>
        <w:r>
          <w:instrText>PAGE   \* MERGEFORMAT</w:instrText>
        </w:r>
        <w:r>
          <w:fldChar w:fldCharType="separate"/>
        </w:r>
        <w:r w:rsidR="00F00365">
          <w:rPr>
            <w:noProof/>
          </w:rPr>
          <w:t>12</w:t>
        </w:r>
        <w:r>
          <w:fldChar w:fldCharType="end"/>
        </w:r>
      </w:p>
    </w:sdtContent>
  </w:sdt>
  <w:p w14:paraId="1B7007C8" w14:textId="77777777" w:rsidR="00160BD4" w:rsidRDefault="00160BD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091898"/>
      <w:docPartObj>
        <w:docPartGallery w:val="Page Numbers (Bottom of Page)"/>
        <w:docPartUnique/>
      </w:docPartObj>
    </w:sdtPr>
    <w:sdtEndPr/>
    <w:sdtContent>
      <w:p w14:paraId="17BE200D" w14:textId="77777777" w:rsidR="00160BD4" w:rsidRPr="009978AE" w:rsidRDefault="00160BD4" w:rsidP="00622F8C">
        <w:pPr>
          <w:spacing w:after="0"/>
          <w:jc w:val="both"/>
          <w:rPr>
            <w:rFonts w:cstheme="minorHAnsi"/>
            <w:iCs/>
            <w:sz w:val="20"/>
            <w:szCs w:val="20"/>
          </w:rPr>
        </w:pPr>
        <w:r w:rsidRPr="009978AE">
          <w:rPr>
            <w:rFonts w:cstheme="minorHAnsi"/>
            <w:iCs/>
            <w:sz w:val="20"/>
            <w:szCs w:val="20"/>
          </w:rPr>
          <w:t>Projekt: „Przegląd i projekt aktualizacji Programu działań mających na celu zmniejszenie zanieczyszczenia wód azotanami pochodzącymi ze źródeł rolniczych oraz zapobieganie dalszemu zanieczyszczeniu” dofinansowany ze</w:t>
        </w:r>
        <w:r>
          <w:rPr>
            <w:rFonts w:cstheme="minorHAnsi"/>
            <w:iCs/>
            <w:sz w:val="20"/>
            <w:szCs w:val="20"/>
          </w:rPr>
          <w:t> </w:t>
        </w:r>
        <w:r w:rsidRPr="009978AE">
          <w:rPr>
            <w:rFonts w:cstheme="minorHAnsi"/>
            <w:iCs/>
            <w:sz w:val="20"/>
            <w:szCs w:val="20"/>
          </w:rPr>
          <w:t>środków Narodowego Funduszu Ochrony Środowiska i Gospodarki Wodnej.</w:t>
        </w:r>
      </w:p>
      <w:p w14:paraId="713A9F49" w14:textId="0116BFFE" w:rsidR="00160BD4" w:rsidRPr="00622F8C" w:rsidRDefault="00160BD4" w:rsidP="00622F8C">
        <w:pPr>
          <w:spacing w:after="0"/>
          <w:jc w:val="both"/>
          <w:rPr>
            <w:rFonts w:cstheme="minorHAnsi"/>
            <w:iCs/>
            <w:sz w:val="20"/>
            <w:szCs w:val="20"/>
          </w:rPr>
        </w:pPr>
        <w:r w:rsidRPr="009978AE">
          <w:rPr>
            <w:rFonts w:cstheme="minorHAnsi"/>
            <w:iCs/>
            <w:sz w:val="20"/>
            <w:szCs w:val="20"/>
          </w:rPr>
          <w:t>Za jego treść odpowiada wyłącznie Ministerstwo Infrastruktury.</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6589" w14:textId="77777777" w:rsidR="00CB789E" w:rsidRDefault="00CB789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301300"/>
      <w:docPartObj>
        <w:docPartGallery w:val="Page Numbers (Bottom of Page)"/>
        <w:docPartUnique/>
      </w:docPartObj>
    </w:sdtPr>
    <w:sdtContent>
      <w:p w14:paraId="09A33259" w14:textId="77777777" w:rsidR="00CB789E" w:rsidRDefault="00CB789E">
        <w:pPr>
          <w:pStyle w:val="Stopka"/>
          <w:jc w:val="right"/>
        </w:pPr>
        <w:r>
          <w:fldChar w:fldCharType="begin"/>
        </w:r>
        <w:r>
          <w:instrText>PAGE   \* MERGEFORMAT</w:instrText>
        </w:r>
        <w:r>
          <w:fldChar w:fldCharType="separate"/>
        </w:r>
        <w:r>
          <w:t>2</w:t>
        </w:r>
        <w:r>
          <w:fldChar w:fldCharType="end"/>
        </w:r>
      </w:p>
    </w:sdtContent>
  </w:sdt>
  <w:p w14:paraId="54CF4411" w14:textId="77777777" w:rsidR="00CB789E" w:rsidRDefault="00CB789E" w:rsidP="00821B23">
    <w:pPr>
      <w:pStyle w:val="Stopka"/>
      <w:jc w:val="both"/>
      <w:rPr>
        <w:i/>
        <w:iCs/>
        <w:sz w:val="16"/>
        <w:szCs w:val="16"/>
      </w:rPr>
    </w:pPr>
    <w:r w:rsidRPr="00821B23">
      <w:rPr>
        <w:i/>
        <w:noProof/>
        <w:sz w:val="16"/>
        <w:szCs w:val="16"/>
      </w:rPr>
      <w:drawing>
        <wp:anchor distT="0" distB="0" distL="114300" distR="114300" simplePos="0" relativeHeight="251661312" behindDoc="0" locked="0" layoutInCell="1" allowOverlap="1" wp14:anchorId="741EEA26" wp14:editId="6109A445">
          <wp:simplePos x="0" y="0"/>
          <wp:positionH relativeFrom="column">
            <wp:posOffset>4231640</wp:posOffset>
          </wp:positionH>
          <wp:positionV relativeFrom="paragraph">
            <wp:posOffset>6350</wp:posOffset>
          </wp:positionV>
          <wp:extent cx="1388679" cy="685800"/>
          <wp:effectExtent l="0" t="0" r="254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679"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B23">
      <w:rPr>
        <w:i/>
        <w:iCs/>
        <w:sz w:val="16"/>
        <w:szCs w:val="16"/>
      </w:rPr>
      <w:t xml:space="preserve">Projekt: „Przegląd i projekt aktualizacji Programu działań mających na celu zmniejszenie zanieczyszczenia wód azotanami pochodzącymi ze źródeł rolniczych oraz zapobieganie dalszemu zanieczyszczeniu” dofinansowany ze środków Narodowego Funduszu Ochrony Środowiska i Gospodarki Wodnej. </w:t>
    </w:r>
  </w:p>
  <w:p w14:paraId="2E7321CF" w14:textId="77777777" w:rsidR="00CB789E" w:rsidRPr="00821B23" w:rsidRDefault="00CB789E" w:rsidP="00821B23">
    <w:pPr>
      <w:pStyle w:val="Stopka"/>
      <w:jc w:val="both"/>
      <w:rPr>
        <w:i/>
        <w:iCs/>
        <w:sz w:val="16"/>
        <w:szCs w:val="16"/>
      </w:rPr>
    </w:pPr>
    <w:r w:rsidRPr="00821B23">
      <w:rPr>
        <w:i/>
        <w:iCs/>
        <w:sz w:val="16"/>
        <w:szCs w:val="16"/>
      </w:rPr>
      <w:t>Za jego treść odpowiada wyłącznie Ministerstwo Infrastruktury.</w:t>
    </w:r>
  </w:p>
  <w:p w14:paraId="11E4CFAE" w14:textId="77777777" w:rsidR="00CB789E" w:rsidRPr="00295CD9" w:rsidRDefault="00CB789E" w:rsidP="00821B23">
    <w:pPr>
      <w:pStyle w:val="Stopka"/>
      <w:jc w:val="both"/>
      <w:rPr>
        <w:i/>
        <w:sz w:val="16"/>
        <w:szCs w:val="16"/>
      </w:rPr>
    </w:pPr>
    <w:r w:rsidRPr="00821B23">
      <w:rPr>
        <w:i/>
        <w:sz w:val="16"/>
        <w:szCs w:val="16"/>
      </w:rPr>
      <w:t>Nr projektu: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928FB" w14:textId="77777777" w:rsidR="00CB789E" w:rsidRPr="00295CD9" w:rsidRDefault="00CB789E" w:rsidP="00821B23">
    <w:pPr>
      <w:spacing w:after="0"/>
      <w:jc w:val="both"/>
      <w:rPr>
        <w:rFonts w:cstheme="minorHAnsi"/>
        <w:iCs/>
        <w:sz w:val="16"/>
        <w:szCs w:val="16"/>
      </w:rPr>
    </w:pPr>
    <w:r w:rsidRPr="00295CD9">
      <w:rPr>
        <w:noProof/>
        <w:sz w:val="16"/>
        <w:szCs w:val="16"/>
      </w:rPr>
      <w:drawing>
        <wp:anchor distT="0" distB="0" distL="114300" distR="114300" simplePos="0" relativeHeight="251660288" behindDoc="0" locked="0" layoutInCell="1" allowOverlap="1" wp14:anchorId="7F51EEF2" wp14:editId="0548B70C">
          <wp:simplePos x="0" y="0"/>
          <wp:positionH relativeFrom="column">
            <wp:posOffset>4631690</wp:posOffset>
          </wp:positionH>
          <wp:positionV relativeFrom="paragraph">
            <wp:posOffset>34925</wp:posOffset>
          </wp:positionV>
          <wp:extent cx="1388679" cy="685800"/>
          <wp:effectExtent l="0" t="0" r="254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679"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CD9">
      <w:rPr>
        <w:rFonts w:cstheme="minorHAnsi"/>
        <w:iCs/>
        <w:sz w:val="16"/>
        <w:szCs w:val="16"/>
      </w:rPr>
      <w:t xml:space="preserve">Projekt: „Przegląd i projekt aktualizacji Programu działań mających na celu zmniejszenie zanieczyszczenia wód azotanami pochodzącymi ze źródeł rolniczych oraz zapobieganie dalszemu zanieczyszczeniu” dofinansowany ze środków Narodowego Funduszu Ochrony Środowiska i Gospodarki Wodnej. </w:t>
    </w:r>
    <w:r>
      <w:rPr>
        <w:rFonts w:cstheme="minorHAnsi"/>
        <w:iCs/>
        <w:sz w:val="16"/>
        <w:szCs w:val="16"/>
      </w:rPr>
      <w:br/>
    </w:r>
    <w:r w:rsidRPr="00295CD9">
      <w:rPr>
        <w:rFonts w:cstheme="minorHAnsi"/>
        <w:iCs/>
        <w:sz w:val="16"/>
        <w:szCs w:val="16"/>
      </w:rPr>
      <w:t>Za jego treść odpowiada wyłącznie Ministerstwo Infrastruktury</w:t>
    </w:r>
    <w:r>
      <w:rPr>
        <w:rFonts w:cstheme="minorHAnsi"/>
        <w:iCs/>
        <w:sz w:val="16"/>
        <w:szCs w:val="16"/>
      </w:rPr>
      <w:t>.</w:t>
    </w:r>
  </w:p>
  <w:p w14:paraId="6EB5E2B2" w14:textId="77777777" w:rsidR="00CB789E" w:rsidRPr="009F7F28" w:rsidRDefault="00CB789E" w:rsidP="00821B23">
    <w:pPr>
      <w:pStyle w:val="Stopka"/>
      <w:jc w:val="both"/>
      <w:rPr>
        <w:i/>
        <w:sz w:val="16"/>
        <w:szCs w:val="16"/>
      </w:rPr>
    </w:pPr>
    <w:r w:rsidRPr="009F7F28">
      <w:rPr>
        <w:i/>
        <w:sz w:val="16"/>
        <w:szCs w:val="16"/>
      </w:rPr>
      <w:t>Nr projektu:</w:t>
    </w:r>
    <w:r w:rsidRPr="00295CD9">
      <w:rPr>
        <w:i/>
        <w:sz w:val="16"/>
        <w:szCs w:val="16"/>
      </w:rPr>
      <w:t xml:space="preserve"> ……..</w:t>
    </w:r>
  </w:p>
  <w:p w14:paraId="52C6CBBD" w14:textId="77777777" w:rsidR="00CB789E" w:rsidRDefault="00CB789E">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767383"/>
      <w:docPartObj>
        <w:docPartGallery w:val="Page Numbers (Bottom of Page)"/>
        <w:docPartUnique/>
      </w:docPartObj>
    </w:sdtPr>
    <w:sdtEndPr/>
    <w:sdtContent>
      <w:p w14:paraId="4B7862FA" w14:textId="006755E5" w:rsidR="00160BD4" w:rsidRDefault="00160BD4" w:rsidP="00397E41">
        <w:pPr>
          <w:pStyle w:val="Stopka"/>
          <w:jc w:val="right"/>
        </w:pPr>
        <w:r>
          <w:fldChar w:fldCharType="begin"/>
        </w:r>
        <w:r>
          <w:instrText>PAGE   \* MERGEFORMAT</w:instrText>
        </w:r>
        <w:r>
          <w:fldChar w:fldCharType="separate"/>
        </w:r>
        <w:r w:rsidR="00F00365">
          <w:rPr>
            <w:noProof/>
          </w:rPr>
          <w:t>13</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56B57" w14:textId="1A583AA7" w:rsidR="00160BD4" w:rsidRPr="009978AE" w:rsidRDefault="00160BD4" w:rsidP="00196551">
    <w:pPr>
      <w:spacing w:after="0"/>
      <w:jc w:val="both"/>
      <w:rPr>
        <w:rFonts w:cstheme="minorHAnsi"/>
        <w:iCs/>
        <w:sz w:val="20"/>
        <w:szCs w:val="20"/>
      </w:rPr>
    </w:pPr>
    <w:bookmarkStart w:id="18" w:name="_Hlk94264757"/>
    <w:r w:rsidRPr="009978AE">
      <w:rPr>
        <w:rFonts w:cstheme="minorHAnsi"/>
        <w:iCs/>
        <w:sz w:val="20"/>
        <w:szCs w:val="20"/>
      </w:rPr>
      <w:t>Projekt: „Przegląd i projekt aktualizacji Programu działań mających na celu zmniejszenie zanieczyszczenia wód azotanami pochodzącymi ze źródeł rolniczych oraz zapobieganie dalszemu zanieczyszczeniu” dofinansowany ze</w:t>
    </w:r>
    <w:r>
      <w:rPr>
        <w:rFonts w:cstheme="minorHAnsi"/>
        <w:iCs/>
        <w:sz w:val="20"/>
        <w:szCs w:val="20"/>
      </w:rPr>
      <w:t> </w:t>
    </w:r>
    <w:r w:rsidRPr="009978AE">
      <w:rPr>
        <w:rFonts w:cstheme="minorHAnsi"/>
        <w:iCs/>
        <w:sz w:val="20"/>
        <w:szCs w:val="20"/>
      </w:rPr>
      <w:t>środków Narodowego Funduszu Ochrony Środowiska i Gospodarki Wodnej.</w:t>
    </w:r>
  </w:p>
  <w:p w14:paraId="14A3BAE1" w14:textId="77777777" w:rsidR="00160BD4" w:rsidRPr="009978AE" w:rsidRDefault="00160BD4" w:rsidP="00196551">
    <w:pPr>
      <w:spacing w:after="0"/>
      <w:jc w:val="both"/>
      <w:rPr>
        <w:rFonts w:cstheme="minorHAnsi"/>
        <w:iCs/>
        <w:sz w:val="20"/>
        <w:szCs w:val="20"/>
      </w:rPr>
    </w:pPr>
    <w:r w:rsidRPr="009978AE">
      <w:rPr>
        <w:rFonts w:cstheme="minorHAnsi"/>
        <w:iCs/>
        <w:sz w:val="20"/>
        <w:szCs w:val="20"/>
      </w:rPr>
      <w:t>Za jego treść odpowiada wyłącznie Ministerstwo Infrastruktury.</w:t>
    </w:r>
  </w:p>
  <w:bookmarkEnd w:id="18"/>
  <w:p w14:paraId="315C6ECC" w14:textId="77777777" w:rsidR="00160BD4" w:rsidRDefault="00160BD4" w:rsidP="002D4644">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0A832" w14:textId="77777777" w:rsidR="0091417D" w:rsidRDefault="0091417D" w:rsidP="007D6145">
      <w:pPr>
        <w:spacing w:after="0" w:line="240" w:lineRule="auto"/>
      </w:pPr>
      <w:bookmarkStart w:id="0" w:name="_Hlk94174248"/>
      <w:bookmarkEnd w:id="0"/>
      <w:r>
        <w:separator/>
      </w:r>
    </w:p>
  </w:footnote>
  <w:footnote w:type="continuationSeparator" w:id="0">
    <w:p w14:paraId="587779B7" w14:textId="77777777" w:rsidR="0091417D" w:rsidRDefault="0091417D" w:rsidP="007D6145">
      <w:pPr>
        <w:spacing w:after="0" w:line="240" w:lineRule="auto"/>
      </w:pPr>
      <w:r>
        <w:continuationSeparator/>
      </w:r>
    </w:p>
  </w:footnote>
  <w:footnote w:id="1">
    <w:p w14:paraId="367F4C08" w14:textId="77777777" w:rsidR="00160BD4" w:rsidRPr="002A2B37" w:rsidRDefault="00160BD4" w:rsidP="0050684E">
      <w:pPr>
        <w:pStyle w:val="Tekstprzypisudolnego"/>
        <w:jc w:val="both"/>
        <w:rPr>
          <w:rFonts w:cstheme="minorHAnsi"/>
        </w:rPr>
      </w:pPr>
      <w:r w:rsidRPr="002A2B37">
        <w:rPr>
          <w:rStyle w:val="Odwoanieprzypisudolnego"/>
          <w:rFonts w:cstheme="minorHAnsi"/>
        </w:rPr>
        <w:footnoteRef/>
      </w:r>
      <w:r w:rsidRPr="002A2B37">
        <w:rPr>
          <w:rFonts w:cstheme="minorHAnsi"/>
        </w:rPr>
        <w:t xml:space="preserve"> Rozporządzenie Ministra Gospodarki Morskiej i Żeglugi Śródlądowej w z dnia 11 października 2019 r. w sprawie klasyfikacji stanu ekologicznego, potencjału ekologicznego i stanu chemicznego oraz sposobu klasyfikacji stanu jednolitych części wód powierzchniowych, a także środowiskowych norm jakości dla substancji priorytetowych (Dz.U. 2019 poz. 2149) –</w:t>
      </w:r>
      <w:r>
        <w:rPr>
          <w:rFonts w:cstheme="minorHAnsi"/>
        </w:rPr>
        <w:t xml:space="preserve"> </w:t>
      </w:r>
      <w:r w:rsidRPr="002A2B37">
        <w:rPr>
          <w:rFonts w:cstheme="minorHAnsi"/>
        </w:rPr>
        <w:t>uznany za uchylony.</w:t>
      </w:r>
    </w:p>
  </w:footnote>
  <w:footnote w:id="2">
    <w:p w14:paraId="4C948D2C" w14:textId="77777777" w:rsidR="00160BD4" w:rsidRPr="002A2B37" w:rsidRDefault="00160BD4" w:rsidP="002B7220">
      <w:pPr>
        <w:pStyle w:val="Tekstprzypisudolnego"/>
        <w:jc w:val="both"/>
        <w:rPr>
          <w:rFonts w:cstheme="minorHAnsi"/>
          <w:lang w:val="nl-NL"/>
        </w:rPr>
      </w:pPr>
      <w:r w:rsidRPr="002A2B37">
        <w:rPr>
          <w:rStyle w:val="Odwoanieprzypisudolnego"/>
          <w:rFonts w:cstheme="minorHAnsi"/>
        </w:rPr>
        <w:footnoteRef/>
      </w:r>
      <w:r w:rsidRPr="002A2B37">
        <w:rPr>
          <w:rFonts w:cstheme="minorHAnsi"/>
        </w:rPr>
        <w:t xml:space="preserve"> </w:t>
      </w:r>
      <w:hyperlink r:id="rId1" w:history="1">
        <w:r w:rsidRPr="000A010F">
          <w:rPr>
            <w:rStyle w:val="Hipercze"/>
            <w:rFonts w:cstheme="minorHAnsi"/>
            <w:color w:val="auto"/>
            <w:u w:val="none"/>
          </w:rPr>
          <w:t>https://www.gios.gov.pl/</w:t>
        </w:r>
      </w:hyperlink>
      <w:r>
        <w:rPr>
          <w:rFonts w:cstheme="minorHAnsi"/>
        </w:rPr>
        <w:t>;</w:t>
      </w:r>
      <w:r w:rsidRPr="002A2B37">
        <w:rPr>
          <w:rFonts w:cstheme="minorHAnsi"/>
        </w:rPr>
        <w:t xml:space="preserve"> Rozporządzenie Ministra Infrastruktury w sprawie form i sposobu prowadzenia monitoringu jednolitych części wód powierzchniowych i jednolitych części wód podziemnych (Dz.U. 2021 poz. 1576).</w:t>
      </w:r>
    </w:p>
  </w:footnote>
  <w:footnote w:id="3">
    <w:p w14:paraId="60D726C5" w14:textId="207F970F" w:rsidR="00160BD4" w:rsidRDefault="00160BD4">
      <w:pPr>
        <w:pStyle w:val="Tekstprzypisudolnego"/>
      </w:pPr>
      <w:r>
        <w:rPr>
          <w:rStyle w:val="Odwoanieprzypisudolnego"/>
        </w:rPr>
        <w:footnoteRef/>
      </w:r>
      <w:r>
        <w:t xml:space="preserve"> zgodnie z wynikami Raportu z realizacji dyrektywy azotanowej za lata 2016-2020.</w:t>
      </w:r>
    </w:p>
  </w:footnote>
  <w:footnote w:id="4">
    <w:p w14:paraId="09CDB0C5" w14:textId="342BF5CB" w:rsidR="00160BD4" w:rsidRDefault="00160BD4">
      <w:pPr>
        <w:pStyle w:val="Tekstprzypisudolnego"/>
      </w:pPr>
      <w:r>
        <w:rPr>
          <w:rStyle w:val="Odwoanieprzypisudolnego"/>
        </w:rPr>
        <w:footnoteRef/>
      </w:r>
      <w:r>
        <w:t xml:space="preserve"> Ibidem</w:t>
      </w:r>
    </w:p>
  </w:footnote>
  <w:footnote w:id="5">
    <w:p w14:paraId="2A770CEC" w14:textId="319277D2" w:rsidR="00160BD4" w:rsidRDefault="00160BD4">
      <w:pPr>
        <w:pStyle w:val="Tekstprzypisudolnego"/>
      </w:pPr>
      <w:r>
        <w:rPr>
          <w:rStyle w:val="Odwoanieprzypisudolnego"/>
        </w:rPr>
        <w:footnoteRef/>
      </w:r>
      <w:r>
        <w:t xml:space="preserve"> zgodnie z wynikami Raportu z realizacji dyrektywy azotanowej za lata 2016-2020.</w:t>
      </w:r>
    </w:p>
  </w:footnote>
  <w:footnote w:id="6">
    <w:p w14:paraId="43CFDBA1" w14:textId="48F49CE4" w:rsidR="00160BD4" w:rsidRDefault="00160BD4" w:rsidP="00D52433">
      <w:pPr>
        <w:pStyle w:val="Tekstprzypisudolnego"/>
        <w:jc w:val="both"/>
      </w:pPr>
      <w:r>
        <w:rPr>
          <w:rStyle w:val="Odwoanieprzypisudolnego"/>
        </w:rPr>
        <w:footnoteRef/>
      </w:r>
      <w:r>
        <w:t xml:space="preserve"> </w:t>
      </w:r>
      <w:proofErr w:type="spellStart"/>
      <w:r w:rsidR="00870CE8">
        <w:t>MGMiŻŚ</w:t>
      </w:r>
      <w:proofErr w:type="spellEnd"/>
      <w:r w:rsidR="00870CE8">
        <w:t xml:space="preserve">, 2020 r., </w:t>
      </w:r>
      <w:r>
        <w:t>Sprawozdanie</w:t>
      </w:r>
      <w:r w:rsidRPr="00D52433">
        <w:t xml:space="preserve"> z realizacji dyrektywy 91/676/EWG </w:t>
      </w:r>
      <w:r>
        <w:t>(azotanowej) w latach 2016-2020, Wrocław</w:t>
      </w:r>
      <w:r w:rsidR="00870CE8">
        <w:t>.</w:t>
      </w:r>
    </w:p>
  </w:footnote>
  <w:footnote w:id="7">
    <w:p w14:paraId="0CA2EBE6" w14:textId="07A0FEC2" w:rsidR="00160BD4" w:rsidRPr="00D52433" w:rsidRDefault="00160BD4" w:rsidP="00D52433">
      <w:pPr>
        <w:pStyle w:val="Tekstprzypisudolnego"/>
        <w:jc w:val="both"/>
        <w:rPr>
          <w:lang w:val="en-US"/>
        </w:rPr>
      </w:pPr>
      <w:r>
        <w:rPr>
          <w:rStyle w:val="Odwoanieprzypisudolnego"/>
        </w:rPr>
        <w:footnoteRef/>
      </w:r>
      <w:r w:rsidRPr="00D52433">
        <w:rPr>
          <w:lang w:val="en-US"/>
        </w:rPr>
        <w:t>„</w:t>
      </w:r>
      <w:r>
        <w:rPr>
          <w:lang w:val="en-US"/>
        </w:rPr>
        <w:t>Nitrates Directive</w:t>
      </w:r>
      <w:r w:rsidRPr="00D52433">
        <w:rPr>
          <w:lang w:val="en-US"/>
        </w:rPr>
        <w:t xml:space="preserve"> (91/676/CEE), Status and trends of aquatic environment and agricultural practice</w:t>
      </w:r>
      <w:r>
        <w:rPr>
          <w:lang w:val="en-US"/>
        </w:rPr>
        <w:t xml:space="preserve"> </w:t>
      </w:r>
      <w:r w:rsidRPr="00D52433">
        <w:rPr>
          <w:lang w:val="en-US"/>
        </w:rPr>
        <w:t>Development guide for Member States’ reports</w:t>
      </w:r>
      <w:r>
        <w:rPr>
          <w:lang w:val="en-US"/>
        </w:rPr>
        <w:t>, 2020”.</w:t>
      </w:r>
    </w:p>
  </w:footnote>
  <w:footnote w:id="8">
    <w:p w14:paraId="47CEEF96" w14:textId="37EB0EDB" w:rsidR="00160BD4" w:rsidRPr="00BD6D7E" w:rsidRDefault="00160BD4" w:rsidP="006A5759">
      <w:pPr>
        <w:pStyle w:val="Tekstprzypisudolnego"/>
        <w:jc w:val="both"/>
        <w:rPr>
          <w:rFonts w:cstheme="minorHAnsi"/>
        </w:rPr>
      </w:pPr>
      <w:r w:rsidRPr="00BD6D7E">
        <w:rPr>
          <w:rStyle w:val="Odwoanieprzypisudolnego"/>
          <w:rFonts w:cstheme="minorHAnsi"/>
        </w:rPr>
        <w:footnoteRef/>
      </w:r>
      <w:r w:rsidRPr="00BD6D7E">
        <w:rPr>
          <w:rFonts w:cstheme="minorHAnsi"/>
        </w:rPr>
        <w:t xml:space="preserve"> </w:t>
      </w:r>
      <w:r w:rsidR="00E86976" w:rsidRPr="00BD6D7E">
        <w:rPr>
          <w:rFonts w:cstheme="minorHAnsi"/>
        </w:rPr>
        <w:t>PGW WP KZGW Warszawa</w:t>
      </w:r>
      <w:r w:rsidR="00E86976">
        <w:rPr>
          <w:rFonts w:cstheme="minorHAnsi"/>
        </w:rPr>
        <w:t>, czerwiec 2020 r.,</w:t>
      </w:r>
      <w:r w:rsidR="00E86976" w:rsidRPr="00BD6D7E">
        <w:rPr>
          <w:rFonts w:cstheme="minorHAnsi"/>
        </w:rPr>
        <w:t xml:space="preserve"> </w:t>
      </w:r>
      <w:r w:rsidRPr="00BD6D7E">
        <w:rPr>
          <w:rFonts w:cstheme="minorHAnsi"/>
        </w:rPr>
        <w:t>„Analiza znaczących oddziaływań antropogenicznych wraz z oceną ich wpływu/ oddziaływania na stan wód powierzchniowych oraz oceną ryzyka nieosiągnięcia celów środowiskowych”,</w:t>
      </w:r>
      <w:r>
        <w:rPr>
          <w:rFonts w:cstheme="minorHAnsi"/>
        </w:rPr>
        <w:t xml:space="preserve"> </w:t>
      </w:r>
      <w:r w:rsidR="00E86976">
        <w:rPr>
          <w:rFonts w:cstheme="minorHAnsi"/>
        </w:rPr>
        <w:t>Warszawa</w:t>
      </w:r>
    </w:p>
  </w:footnote>
  <w:footnote w:id="9">
    <w:p w14:paraId="68CA3929" w14:textId="77777777" w:rsidR="00160BD4" w:rsidRPr="009A47E6" w:rsidRDefault="00160BD4" w:rsidP="006A5759">
      <w:pPr>
        <w:pStyle w:val="Tekstprzypisudolnego"/>
        <w:jc w:val="both"/>
        <w:rPr>
          <w:rFonts w:cstheme="minorHAnsi"/>
        </w:rPr>
      </w:pPr>
      <w:r w:rsidRPr="009A47E6">
        <w:rPr>
          <w:rStyle w:val="Odwoanieprzypisudolnego"/>
          <w:rFonts w:cstheme="minorHAnsi"/>
        </w:rPr>
        <w:footnoteRef/>
      </w:r>
      <w:r w:rsidRPr="009A47E6">
        <w:rPr>
          <w:rFonts w:cstheme="minorHAnsi"/>
        </w:rPr>
        <w:t xml:space="preserve"> </w:t>
      </w:r>
      <w:r>
        <w:rPr>
          <w:rFonts w:cstheme="minorHAnsi"/>
        </w:rPr>
        <w:t xml:space="preserve"> Ibidem</w:t>
      </w:r>
    </w:p>
  </w:footnote>
  <w:footnote w:id="10">
    <w:p w14:paraId="2371E270" w14:textId="1817038F" w:rsidR="00AA2EFC" w:rsidRDefault="00AA2EFC">
      <w:pPr>
        <w:pStyle w:val="Tekstprzypisudolnego"/>
      </w:pPr>
      <w:r>
        <w:rPr>
          <w:rStyle w:val="Odwoanieprzypisudolnego"/>
        </w:rPr>
        <w:footnoteRef/>
      </w:r>
      <w:r>
        <w:t xml:space="preserve"> </w:t>
      </w:r>
      <w:r w:rsidRPr="00BD6D7E">
        <w:rPr>
          <w:rFonts w:cstheme="minorHAnsi"/>
        </w:rPr>
        <w:t>PGW WP KZGW Warszawa</w:t>
      </w:r>
      <w:r>
        <w:rPr>
          <w:rFonts w:cstheme="minorHAnsi"/>
        </w:rPr>
        <w:t>, czerwiec 2020 r.,</w:t>
      </w:r>
      <w:r>
        <w:t xml:space="preserve"> „</w:t>
      </w:r>
      <w:r w:rsidRPr="00BD6D7E">
        <w:rPr>
          <w:rFonts w:cstheme="minorHAnsi"/>
        </w:rPr>
        <w:t>Analiza znaczących oddziaływań antropogenicznych wraz z oceną ich wpływu/ oddziaływania na stan wód powierzchniowych oraz oceną ryzyka nieosiągnięcia celów środowiskowych”,</w:t>
      </w:r>
      <w:r>
        <w:rPr>
          <w:rFonts w:cstheme="minorHAnsi"/>
        </w:rPr>
        <w:t xml:space="preserve"> Warszawa</w:t>
      </w:r>
    </w:p>
  </w:footnote>
  <w:footnote w:id="11">
    <w:p w14:paraId="758B1328" w14:textId="77777777" w:rsidR="00CB789E" w:rsidRDefault="00CB789E" w:rsidP="00CB789E">
      <w:pPr>
        <w:pStyle w:val="Tekstprzypisudolnego"/>
        <w:jc w:val="both"/>
      </w:pPr>
      <w:r>
        <w:rPr>
          <w:rStyle w:val="Odwoanieprzypisudolnego"/>
        </w:rPr>
        <w:footnoteRef/>
      </w:r>
      <w:r>
        <w:t xml:space="preserve"> </w:t>
      </w:r>
      <w:proofErr w:type="spellStart"/>
      <w:r>
        <w:t>MGMiŻŚ</w:t>
      </w:r>
      <w:proofErr w:type="spellEnd"/>
      <w:r>
        <w:t xml:space="preserve">, 2020 r., </w:t>
      </w:r>
      <w:r w:rsidRPr="00BA4270">
        <w:t>Sprawozdani</w:t>
      </w:r>
      <w:r>
        <w:t>e</w:t>
      </w:r>
      <w:r w:rsidRPr="00BA4270">
        <w:t xml:space="preserve"> z realizacji dyrektywy 91/676/EWG (azotanowej) w latach 2016-2020</w:t>
      </w:r>
      <w:r>
        <w:t>, Wrocław</w:t>
      </w:r>
    </w:p>
  </w:footnote>
  <w:footnote w:id="12">
    <w:p w14:paraId="736AE5BC" w14:textId="77777777" w:rsidR="00CB789E" w:rsidRDefault="00CB789E" w:rsidP="00CB789E">
      <w:pPr>
        <w:pStyle w:val="Tekstprzypisudolnego"/>
        <w:jc w:val="both"/>
      </w:pPr>
      <w:r>
        <w:rPr>
          <w:rStyle w:val="Odwoanieprzypisudolnego"/>
        </w:rPr>
        <w:footnoteRef/>
      </w:r>
      <w:r>
        <w:t xml:space="preserve"> </w:t>
      </w:r>
      <w:r w:rsidRPr="00D67496">
        <w:t>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 U. z 2019 r., poz. 2149).</w:t>
      </w:r>
    </w:p>
  </w:footnote>
  <w:footnote w:id="13">
    <w:p w14:paraId="66FC45F8" w14:textId="77777777" w:rsidR="00CB789E" w:rsidRDefault="00CB789E" w:rsidP="00CB789E">
      <w:pPr>
        <w:pStyle w:val="Tekstprzypisudolnego"/>
        <w:jc w:val="both"/>
      </w:pPr>
      <w:r>
        <w:rPr>
          <w:rStyle w:val="Odwoanieprzypisudolnego"/>
        </w:rPr>
        <w:footnoteRef/>
      </w:r>
      <w:r>
        <w:t xml:space="preserve"> </w:t>
      </w:r>
      <w:r w:rsidRPr="00D67496">
        <w:t>Rozporządzenia Ministra</w:t>
      </w:r>
      <w:r>
        <w:t xml:space="preserve"> Infrastruktury z dnia 25 czerwca 2021 r. w sprawie klasyfikacji stanu ekologicznego, potencjału ekologicznego i stanu chemicznego oraz sposobu klasyfikacji stanu jednolitych części wód powierzchniowych, a także środowiskowych norm jakości dla substancji priorytetowych (</w:t>
      </w:r>
      <w:r w:rsidRPr="00D67496">
        <w:t>Dz. U. z 20</w:t>
      </w:r>
      <w:r>
        <w:t>21</w:t>
      </w:r>
      <w:r w:rsidRPr="00D67496">
        <w:t xml:space="preserve"> r., poz. </w:t>
      </w:r>
      <w:r>
        <w:t>1475</w:t>
      </w:r>
      <w:r w:rsidRPr="00D6749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0010" w14:textId="576A29A7" w:rsidR="00160BD4" w:rsidRDefault="00160BD4">
    <w:pPr>
      <w:pStyle w:val="Nagwek"/>
    </w:pPr>
    <w:r>
      <w:rPr>
        <w:noProof/>
        <w:lang w:eastAsia="pl-PL"/>
      </w:rPr>
      <w:drawing>
        <wp:anchor distT="0" distB="0" distL="114300" distR="114300" simplePos="0" relativeHeight="251658240" behindDoc="1" locked="0" layoutInCell="1" allowOverlap="1" wp14:anchorId="782AEB6E" wp14:editId="326EFA3B">
          <wp:simplePos x="0" y="0"/>
          <wp:positionH relativeFrom="margin">
            <wp:align>center</wp:align>
          </wp:positionH>
          <wp:positionV relativeFrom="paragraph">
            <wp:posOffset>-224431</wp:posOffset>
          </wp:positionV>
          <wp:extent cx="2207260" cy="628015"/>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260" cy="628015"/>
                  </a:xfrm>
                  <a:prstGeom prst="rect">
                    <a:avLst/>
                  </a:prstGeom>
                  <a:noFill/>
                </pic:spPr>
              </pic:pic>
            </a:graphicData>
          </a:graphic>
          <wp14:sizeRelH relativeFrom="page">
            <wp14:pctWidth>0</wp14:pctWidth>
          </wp14:sizeRelH>
          <wp14:sizeRelV relativeFrom="page">
            <wp14:pctHeight>0</wp14:pctHeight>
          </wp14:sizeRelV>
        </wp:anchor>
      </w:drawing>
    </w:r>
  </w:p>
  <w:p w14:paraId="7C5C2862" w14:textId="77777777" w:rsidR="00160BD4" w:rsidRDefault="00160BD4">
    <w:pPr>
      <w:pStyle w:val="Nagwek"/>
    </w:pPr>
  </w:p>
  <w:p w14:paraId="4B6ED00C" w14:textId="1B5CEFD9" w:rsidR="00160BD4" w:rsidRDefault="00160BD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1952" w14:textId="77777777" w:rsidR="00CB789E" w:rsidRDefault="00CB789E">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6254" w14:textId="77777777" w:rsidR="00CB789E" w:rsidRDefault="00CB789E" w:rsidP="00C316CF">
    <w:pPr>
      <w:pStyle w:val="Nagwek"/>
      <w:jc w:val="center"/>
    </w:pPr>
    <w:r>
      <w:rPr>
        <w:noProof/>
      </w:rPr>
      <w:drawing>
        <wp:inline distT="0" distB="0" distL="0" distR="0" wp14:anchorId="4BF62628" wp14:editId="3D229E47">
          <wp:extent cx="2207260" cy="6280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260" cy="62801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C72C5" w14:textId="77777777" w:rsidR="00CB789E" w:rsidRDefault="00CB789E" w:rsidP="00630F19">
    <w:pPr>
      <w:pStyle w:val="Nagwek"/>
      <w:jc w:val="center"/>
    </w:pPr>
    <w:r>
      <w:rPr>
        <w:noProof/>
      </w:rPr>
      <w:drawing>
        <wp:inline distT="0" distB="0" distL="0" distR="0" wp14:anchorId="49EFDDA2" wp14:editId="12165F47">
          <wp:extent cx="2207260" cy="62801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260" cy="62801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B17B1" w14:textId="19C65224" w:rsidR="00160BD4" w:rsidRDefault="00160BD4" w:rsidP="00397E41">
    <w:pPr>
      <w:pStyle w:val="Nagwek"/>
      <w:jc w:val="center"/>
    </w:pPr>
    <w:r>
      <w:rPr>
        <w:noProof/>
        <w:lang w:eastAsia="pl-PL"/>
      </w:rPr>
      <w:drawing>
        <wp:inline distT="0" distB="0" distL="0" distR="0" wp14:anchorId="67DB7225" wp14:editId="5B3223A0">
          <wp:extent cx="2207260" cy="62801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260" cy="62801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16FE" w14:textId="51882366" w:rsidR="00160BD4" w:rsidRDefault="00160BD4" w:rsidP="00630F19">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046"/>
    <w:multiLevelType w:val="hybridMultilevel"/>
    <w:tmpl w:val="CB8AE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9357C0"/>
    <w:multiLevelType w:val="hybridMultilevel"/>
    <w:tmpl w:val="CB3435A4"/>
    <w:lvl w:ilvl="0" w:tplc="3AB24FC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B67DB5"/>
    <w:multiLevelType w:val="hybridMultilevel"/>
    <w:tmpl w:val="A5983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8D6B34"/>
    <w:multiLevelType w:val="hybridMultilevel"/>
    <w:tmpl w:val="E4E27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697314"/>
    <w:multiLevelType w:val="hybridMultilevel"/>
    <w:tmpl w:val="2FC4F85C"/>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5" w15:restartNumberingAfterBreak="0">
    <w:nsid w:val="18BA464B"/>
    <w:multiLevelType w:val="hybridMultilevel"/>
    <w:tmpl w:val="C0DEBD1E"/>
    <w:lvl w:ilvl="0" w:tplc="1D4AF7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E33BAC"/>
    <w:multiLevelType w:val="multilevel"/>
    <w:tmpl w:val="818E9F8E"/>
    <w:lvl w:ilvl="0">
      <w:start w:val="1"/>
      <w:numFmt w:val="decimal"/>
      <w:lvlText w:val="%1."/>
      <w:lvlJc w:val="left"/>
      <w:pPr>
        <w:ind w:left="1584" w:hanging="360"/>
      </w:pPr>
      <w:rPr>
        <w:rFonts w:hint="default"/>
      </w:rPr>
    </w:lvl>
    <w:lvl w:ilvl="1">
      <w:start w:val="1"/>
      <w:numFmt w:val="decimal"/>
      <w:isLgl/>
      <w:lvlText w:val="%1.%2"/>
      <w:lvlJc w:val="left"/>
      <w:pPr>
        <w:ind w:left="1584"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7" w15:restartNumberingAfterBreak="0">
    <w:nsid w:val="21E6395B"/>
    <w:multiLevelType w:val="hybridMultilevel"/>
    <w:tmpl w:val="57C6C8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DB0AE0"/>
    <w:multiLevelType w:val="hybridMultilevel"/>
    <w:tmpl w:val="D5DCD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7010C5"/>
    <w:multiLevelType w:val="hybridMultilevel"/>
    <w:tmpl w:val="121612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A0B1E20"/>
    <w:multiLevelType w:val="hybridMultilevel"/>
    <w:tmpl w:val="C9DA36A2"/>
    <w:lvl w:ilvl="0" w:tplc="1D4AF70A">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11" w15:restartNumberingAfterBreak="0">
    <w:nsid w:val="2D997F80"/>
    <w:multiLevelType w:val="hybridMultilevel"/>
    <w:tmpl w:val="4BFEC39C"/>
    <w:lvl w:ilvl="0" w:tplc="F386F77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2F324272"/>
    <w:multiLevelType w:val="multilevel"/>
    <w:tmpl w:val="225A23C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0684537"/>
    <w:multiLevelType w:val="hybridMultilevel"/>
    <w:tmpl w:val="1EDC6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0DD3B6D"/>
    <w:multiLevelType w:val="hybridMultilevel"/>
    <w:tmpl w:val="EDC8B982"/>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5" w15:restartNumberingAfterBreak="0">
    <w:nsid w:val="44774576"/>
    <w:multiLevelType w:val="hybridMultilevel"/>
    <w:tmpl w:val="FB50DAA8"/>
    <w:lvl w:ilvl="0" w:tplc="1D4AF7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65C7D09"/>
    <w:multiLevelType w:val="hybridMultilevel"/>
    <w:tmpl w:val="4B045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EB73B6"/>
    <w:multiLevelType w:val="multilevel"/>
    <w:tmpl w:val="FA9A91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375999"/>
    <w:multiLevelType w:val="hybridMultilevel"/>
    <w:tmpl w:val="F5127ABE"/>
    <w:lvl w:ilvl="0" w:tplc="1D4AF7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44656CF"/>
    <w:multiLevelType w:val="hybridMultilevel"/>
    <w:tmpl w:val="397472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9957BD0"/>
    <w:multiLevelType w:val="multilevel"/>
    <w:tmpl w:val="4C82824A"/>
    <w:lvl w:ilvl="0">
      <w:start w:val="1"/>
      <w:numFmt w:val="decimal"/>
      <w:lvlText w:val="%1."/>
      <w:lvlJc w:val="left"/>
      <w:pPr>
        <w:ind w:left="720" w:hanging="360"/>
      </w:pPr>
      <w:rPr>
        <w:rFonts w:hint="default"/>
      </w:rPr>
    </w:lvl>
    <w:lvl w:ilvl="1">
      <w:start w:val="1"/>
      <w:numFmt w:val="decimal"/>
      <w:isLgl/>
      <w:lvlText w:val="%1.%2."/>
      <w:lvlJc w:val="left"/>
      <w:pPr>
        <w:ind w:left="2304" w:hanging="720"/>
      </w:pPr>
      <w:rPr>
        <w:rFonts w:hint="default"/>
      </w:rPr>
    </w:lvl>
    <w:lvl w:ilvl="2">
      <w:start w:val="1"/>
      <w:numFmt w:val="decimal"/>
      <w:isLgl/>
      <w:lvlText w:val="%1.%2.%3."/>
      <w:lvlJc w:val="left"/>
      <w:pPr>
        <w:ind w:left="3528" w:hanging="720"/>
      </w:pPr>
      <w:rPr>
        <w:rFonts w:hint="default"/>
      </w:rPr>
    </w:lvl>
    <w:lvl w:ilvl="3">
      <w:start w:val="1"/>
      <w:numFmt w:val="decimal"/>
      <w:isLgl/>
      <w:lvlText w:val="%1.%2.%3.%4."/>
      <w:lvlJc w:val="left"/>
      <w:pPr>
        <w:ind w:left="5112" w:hanging="1080"/>
      </w:pPr>
      <w:rPr>
        <w:rFonts w:hint="default"/>
      </w:rPr>
    </w:lvl>
    <w:lvl w:ilvl="4">
      <w:start w:val="1"/>
      <w:numFmt w:val="decimal"/>
      <w:isLgl/>
      <w:lvlText w:val="%1.%2.%3.%4.%5."/>
      <w:lvlJc w:val="left"/>
      <w:pPr>
        <w:ind w:left="6336"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9144" w:hanging="1440"/>
      </w:pPr>
      <w:rPr>
        <w:rFonts w:hint="default"/>
      </w:rPr>
    </w:lvl>
    <w:lvl w:ilvl="7">
      <w:start w:val="1"/>
      <w:numFmt w:val="decimal"/>
      <w:isLgl/>
      <w:lvlText w:val="%1.%2.%3.%4.%5.%6.%7.%8."/>
      <w:lvlJc w:val="left"/>
      <w:pPr>
        <w:ind w:left="10728" w:hanging="1800"/>
      </w:pPr>
      <w:rPr>
        <w:rFonts w:hint="default"/>
      </w:rPr>
    </w:lvl>
    <w:lvl w:ilvl="8">
      <w:start w:val="1"/>
      <w:numFmt w:val="decimal"/>
      <w:isLgl/>
      <w:lvlText w:val="%1.%2.%3.%4.%5.%6.%7.%8.%9."/>
      <w:lvlJc w:val="left"/>
      <w:pPr>
        <w:ind w:left="12312" w:hanging="2160"/>
      </w:pPr>
      <w:rPr>
        <w:rFonts w:hint="default"/>
      </w:rPr>
    </w:lvl>
  </w:abstractNum>
  <w:abstractNum w:abstractNumId="21" w15:restartNumberingAfterBreak="0">
    <w:nsid w:val="5A9C636A"/>
    <w:multiLevelType w:val="multilevel"/>
    <w:tmpl w:val="1AB274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B337C88"/>
    <w:multiLevelType w:val="hybridMultilevel"/>
    <w:tmpl w:val="5DBC8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470695A"/>
    <w:multiLevelType w:val="hybridMultilevel"/>
    <w:tmpl w:val="F42E1DAA"/>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AE352F2"/>
    <w:multiLevelType w:val="multilevel"/>
    <w:tmpl w:val="C536389E"/>
    <w:lvl w:ilvl="0">
      <w:start w:val="1"/>
      <w:numFmt w:val="decimal"/>
      <w:lvlText w:val="%1."/>
      <w:lvlJc w:val="left"/>
      <w:pPr>
        <w:ind w:left="360" w:hanging="360"/>
      </w:pPr>
    </w:lvl>
    <w:lvl w:ilvl="1">
      <w:start w:val="1"/>
      <w:numFmt w:val="decimal"/>
      <w:lvlText w:val="%1.%2."/>
      <w:lvlJc w:val="left"/>
      <w:pPr>
        <w:ind w:left="4402" w:hanging="432"/>
      </w:pPr>
    </w:lvl>
    <w:lvl w:ilvl="2">
      <w:start w:val="1"/>
      <w:numFmt w:val="decimal"/>
      <w:lvlText w:val="%1.%2.%3."/>
      <w:lvlJc w:val="left"/>
      <w:pPr>
        <w:ind w:left="1224" w:hanging="504"/>
      </w:pPr>
    </w:lvl>
    <w:lvl w:ilvl="3">
      <w:start w:val="1"/>
      <w:numFmt w:val="decimal"/>
      <w:lvlText w:val="%1.%2.%3.%4."/>
      <w:lvlJc w:val="left"/>
      <w:pPr>
        <w:ind w:left="1728" w:hanging="648"/>
      </w:pPr>
      <w:rPr>
        <w:rFonts w:ascii="Calibri" w:hAnsi="Calibr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AFF7BF7"/>
    <w:multiLevelType w:val="hybridMultilevel"/>
    <w:tmpl w:val="2AA44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C8C7F26"/>
    <w:multiLevelType w:val="hybridMultilevel"/>
    <w:tmpl w:val="6456B0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08206DD"/>
    <w:multiLevelType w:val="hybridMultilevel"/>
    <w:tmpl w:val="DD9653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2637E31"/>
    <w:multiLevelType w:val="hybridMultilevel"/>
    <w:tmpl w:val="C7E63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E665B49"/>
    <w:multiLevelType w:val="multilevel"/>
    <w:tmpl w:val="4C82824A"/>
    <w:lvl w:ilvl="0">
      <w:start w:val="1"/>
      <w:numFmt w:val="decimal"/>
      <w:lvlText w:val="%1."/>
      <w:lvlJc w:val="left"/>
      <w:pPr>
        <w:ind w:left="720" w:hanging="360"/>
      </w:pPr>
      <w:rPr>
        <w:rFonts w:hint="default"/>
      </w:rPr>
    </w:lvl>
    <w:lvl w:ilvl="1">
      <w:start w:val="1"/>
      <w:numFmt w:val="decimal"/>
      <w:isLgl/>
      <w:lvlText w:val="%1.%2."/>
      <w:lvlJc w:val="left"/>
      <w:pPr>
        <w:ind w:left="2304" w:hanging="720"/>
      </w:pPr>
      <w:rPr>
        <w:rFonts w:hint="default"/>
      </w:rPr>
    </w:lvl>
    <w:lvl w:ilvl="2">
      <w:start w:val="1"/>
      <w:numFmt w:val="decimal"/>
      <w:isLgl/>
      <w:lvlText w:val="%1.%2.%3."/>
      <w:lvlJc w:val="left"/>
      <w:pPr>
        <w:ind w:left="3528" w:hanging="720"/>
      </w:pPr>
      <w:rPr>
        <w:rFonts w:hint="default"/>
      </w:rPr>
    </w:lvl>
    <w:lvl w:ilvl="3">
      <w:start w:val="1"/>
      <w:numFmt w:val="decimal"/>
      <w:isLgl/>
      <w:lvlText w:val="%1.%2.%3.%4."/>
      <w:lvlJc w:val="left"/>
      <w:pPr>
        <w:ind w:left="5112" w:hanging="1080"/>
      </w:pPr>
      <w:rPr>
        <w:rFonts w:hint="default"/>
      </w:rPr>
    </w:lvl>
    <w:lvl w:ilvl="4">
      <w:start w:val="1"/>
      <w:numFmt w:val="decimal"/>
      <w:isLgl/>
      <w:lvlText w:val="%1.%2.%3.%4.%5."/>
      <w:lvlJc w:val="left"/>
      <w:pPr>
        <w:ind w:left="6336" w:hanging="1080"/>
      </w:pPr>
      <w:rPr>
        <w:rFonts w:hint="default"/>
      </w:rPr>
    </w:lvl>
    <w:lvl w:ilvl="5">
      <w:start w:val="1"/>
      <w:numFmt w:val="decimal"/>
      <w:isLgl/>
      <w:lvlText w:val="%1.%2.%3.%4.%5.%6."/>
      <w:lvlJc w:val="left"/>
      <w:pPr>
        <w:ind w:left="7920" w:hanging="1440"/>
      </w:pPr>
      <w:rPr>
        <w:rFonts w:hint="default"/>
      </w:rPr>
    </w:lvl>
    <w:lvl w:ilvl="6">
      <w:start w:val="1"/>
      <w:numFmt w:val="decimal"/>
      <w:isLgl/>
      <w:lvlText w:val="%1.%2.%3.%4.%5.%6.%7."/>
      <w:lvlJc w:val="left"/>
      <w:pPr>
        <w:ind w:left="9144" w:hanging="1440"/>
      </w:pPr>
      <w:rPr>
        <w:rFonts w:hint="default"/>
      </w:rPr>
    </w:lvl>
    <w:lvl w:ilvl="7">
      <w:start w:val="1"/>
      <w:numFmt w:val="decimal"/>
      <w:isLgl/>
      <w:lvlText w:val="%1.%2.%3.%4.%5.%6.%7.%8."/>
      <w:lvlJc w:val="left"/>
      <w:pPr>
        <w:ind w:left="10728" w:hanging="1800"/>
      </w:pPr>
      <w:rPr>
        <w:rFonts w:hint="default"/>
      </w:rPr>
    </w:lvl>
    <w:lvl w:ilvl="8">
      <w:start w:val="1"/>
      <w:numFmt w:val="decimal"/>
      <w:isLgl/>
      <w:lvlText w:val="%1.%2.%3.%4.%5.%6.%7.%8.%9."/>
      <w:lvlJc w:val="left"/>
      <w:pPr>
        <w:ind w:left="12312" w:hanging="2160"/>
      </w:pPr>
      <w:rPr>
        <w:rFonts w:hint="default"/>
      </w:rPr>
    </w:lvl>
  </w:abstractNum>
  <w:num w:numId="1">
    <w:abstractNumId w:val="12"/>
  </w:num>
  <w:num w:numId="2">
    <w:abstractNumId w:val="21"/>
  </w:num>
  <w:num w:numId="3">
    <w:abstractNumId w:val="9"/>
  </w:num>
  <w:num w:numId="4">
    <w:abstractNumId w:val="27"/>
  </w:num>
  <w:num w:numId="5">
    <w:abstractNumId w:val="28"/>
  </w:num>
  <w:num w:numId="6">
    <w:abstractNumId w:val="7"/>
  </w:num>
  <w:num w:numId="7">
    <w:abstractNumId w:val="0"/>
  </w:num>
  <w:num w:numId="8">
    <w:abstractNumId w:val="16"/>
  </w:num>
  <w:num w:numId="9">
    <w:abstractNumId w:val="8"/>
  </w:num>
  <w:num w:numId="10">
    <w:abstractNumId w:val="11"/>
  </w:num>
  <w:num w:numId="11">
    <w:abstractNumId w:val="5"/>
  </w:num>
  <w:num w:numId="12">
    <w:abstractNumId w:val="15"/>
  </w:num>
  <w:num w:numId="13">
    <w:abstractNumId w:val="18"/>
  </w:num>
  <w:num w:numId="14">
    <w:abstractNumId w:val="24"/>
  </w:num>
  <w:num w:numId="15">
    <w:abstractNumId w:val="3"/>
  </w:num>
  <w:num w:numId="16">
    <w:abstractNumId w:val="25"/>
  </w:num>
  <w:num w:numId="17">
    <w:abstractNumId w:val="1"/>
  </w:num>
  <w:num w:numId="18">
    <w:abstractNumId w:val="22"/>
  </w:num>
  <w:num w:numId="19">
    <w:abstractNumId w:val="26"/>
  </w:num>
  <w:num w:numId="20">
    <w:abstractNumId w:val="6"/>
  </w:num>
  <w:num w:numId="21">
    <w:abstractNumId w:val="20"/>
  </w:num>
  <w:num w:numId="22">
    <w:abstractNumId w:val="4"/>
  </w:num>
  <w:num w:numId="23">
    <w:abstractNumId w:val="10"/>
  </w:num>
  <w:num w:numId="24">
    <w:abstractNumId w:val="29"/>
  </w:num>
  <w:num w:numId="25">
    <w:abstractNumId w:val="14"/>
  </w:num>
  <w:num w:numId="26">
    <w:abstractNumId w:val="23"/>
  </w:num>
  <w:num w:numId="27">
    <w:abstractNumId w:val="13"/>
  </w:num>
  <w:num w:numId="28">
    <w:abstractNumId w:val="19"/>
  </w:num>
  <w:num w:numId="29">
    <w:abstractNumId w:val="17"/>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456"/>
    <w:rsid w:val="00000D62"/>
    <w:rsid w:val="000050C6"/>
    <w:rsid w:val="00005376"/>
    <w:rsid w:val="000066B0"/>
    <w:rsid w:val="00007A7A"/>
    <w:rsid w:val="00012F63"/>
    <w:rsid w:val="00017382"/>
    <w:rsid w:val="000250EF"/>
    <w:rsid w:val="0002654C"/>
    <w:rsid w:val="00034100"/>
    <w:rsid w:val="00034844"/>
    <w:rsid w:val="000378C0"/>
    <w:rsid w:val="00043E51"/>
    <w:rsid w:val="00054203"/>
    <w:rsid w:val="000554A2"/>
    <w:rsid w:val="00057349"/>
    <w:rsid w:val="000610E8"/>
    <w:rsid w:val="00061579"/>
    <w:rsid w:val="000639AA"/>
    <w:rsid w:val="000651A0"/>
    <w:rsid w:val="00066767"/>
    <w:rsid w:val="00071197"/>
    <w:rsid w:val="00071589"/>
    <w:rsid w:val="00072257"/>
    <w:rsid w:val="00073420"/>
    <w:rsid w:val="00073A2F"/>
    <w:rsid w:val="00075017"/>
    <w:rsid w:val="00076F74"/>
    <w:rsid w:val="0008459B"/>
    <w:rsid w:val="00090556"/>
    <w:rsid w:val="0009190E"/>
    <w:rsid w:val="00091D00"/>
    <w:rsid w:val="00092857"/>
    <w:rsid w:val="00093C1C"/>
    <w:rsid w:val="000952AB"/>
    <w:rsid w:val="00096F0B"/>
    <w:rsid w:val="00097878"/>
    <w:rsid w:val="00097923"/>
    <w:rsid w:val="000A011B"/>
    <w:rsid w:val="000A0AF1"/>
    <w:rsid w:val="000A0B6A"/>
    <w:rsid w:val="000A2EAA"/>
    <w:rsid w:val="000A4493"/>
    <w:rsid w:val="000A4E4B"/>
    <w:rsid w:val="000B26BC"/>
    <w:rsid w:val="000B61C7"/>
    <w:rsid w:val="000C767B"/>
    <w:rsid w:val="000D05A9"/>
    <w:rsid w:val="000D0F91"/>
    <w:rsid w:val="000D1B9D"/>
    <w:rsid w:val="000D66BB"/>
    <w:rsid w:val="000E24DF"/>
    <w:rsid w:val="000E2946"/>
    <w:rsid w:val="000E3043"/>
    <w:rsid w:val="000E41A0"/>
    <w:rsid w:val="000E536F"/>
    <w:rsid w:val="000E5B4A"/>
    <w:rsid w:val="000F01A9"/>
    <w:rsid w:val="000F421F"/>
    <w:rsid w:val="000F44BC"/>
    <w:rsid w:val="000F4835"/>
    <w:rsid w:val="00100AEA"/>
    <w:rsid w:val="00100D29"/>
    <w:rsid w:val="0010279D"/>
    <w:rsid w:val="001061BD"/>
    <w:rsid w:val="0010731B"/>
    <w:rsid w:val="00111E2C"/>
    <w:rsid w:val="00112992"/>
    <w:rsid w:val="0011419B"/>
    <w:rsid w:val="001172E2"/>
    <w:rsid w:val="001273B8"/>
    <w:rsid w:val="00130114"/>
    <w:rsid w:val="0013014C"/>
    <w:rsid w:val="001328ED"/>
    <w:rsid w:val="00132E06"/>
    <w:rsid w:val="001341DC"/>
    <w:rsid w:val="0013592A"/>
    <w:rsid w:val="00137F1C"/>
    <w:rsid w:val="00141527"/>
    <w:rsid w:val="00143345"/>
    <w:rsid w:val="001436CD"/>
    <w:rsid w:val="001469FF"/>
    <w:rsid w:val="00147BDD"/>
    <w:rsid w:val="00155FE2"/>
    <w:rsid w:val="0015635B"/>
    <w:rsid w:val="0016010B"/>
    <w:rsid w:val="00160188"/>
    <w:rsid w:val="00160BD4"/>
    <w:rsid w:val="00161168"/>
    <w:rsid w:val="00161421"/>
    <w:rsid w:val="00161C91"/>
    <w:rsid w:val="00166400"/>
    <w:rsid w:val="001749BB"/>
    <w:rsid w:val="00174EF2"/>
    <w:rsid w:val="00175351"/>
    <w:rsid w:val="00175793"/>
    <w:rsid w:val="0017584E"/>
    <w:rsid w:val="00177569"/>
    <w:rsid w:val="001809FF"/>
    <w:rsid w:val="001821C6"/>
    <w:rsid w:val="00186C9E"/>
    <w:rsid w:val="00190AFE"/>
    <w:rsid w:val="00190C5C"/>
    <w:rsid w:val="0019114C"/>
    <w:rsid w:val="00192A33"/>
    <w:rsid w:val="0019316D"/>
    <w:rsid w:val="00193281"/>
    <w:rsid w:val="00193A21"/>
    <w:rsid w:val="00194288"/>
    <w:rsid w:val="00194C44"/>
    <w:rsid w:val="00196551"/>
    <w:rsid w:val="001A3743"/>
    <w:rsid w:val="001A7300"/>
    <w:rsid w:val="001A754D"/>
    <w:rsid w:val="001B15F5"/>
    <w:rsid w:val="001B609F"/>
    <w:rsid w:val="001B7436"/>
    <w:rsid w:val="001C6266"/>
    <w:rsid w:val="001D00E7"/>
    <w:rsid w:val="001D09C2"/>
    <w:rsid w:val="001D181E"/>
    <w:rsid w:val="001E19DA"/>
    <w:rsid w:val="001E28A5"/>
    <w:rsid w:val="001F12DE"/>
    <w:rsid w:val="001F243A"/>
    <w:rsid w:val="001F36F1"/>
    <w:rsid w:val="00201604"/>
    <w:rsid w:val="00201ED2"/>
    <w:rsid w:val="002042C9"/>
    <w:rsid w:val="00206165"/>
    <w:rsid w:val="002062CF"/>
    <w:rsid w:val="00211272"/>
    <w:rsid w:val="00213E56"/>
    <w:rsid w:val="002140A7"/>
    <w:rsid w:val="00217A2B"/>
    <w:rsid w:val="00217D50"/>
    <w:rsid w:val="002203A7"/>
    <w:rsid w:val="00221D81"/>
    <w:rsid w:val="002243BB"/>
    <w:rsid w:val="0022462B"/>
    <w:rsid w:val="00225615"/>
    <w:rsid w:val="00225A35"/>
    <w:rsid w:val="00226B26"/>
    <w:rsid w:val="00231334"/>
    <w:rsid w:val="00244DCD"/>
    <w:rsid w:val="00246FF4"/>
    <w:rsid w:val="002509AC"/>
    <w:rsid w:val="002513D6"/>
    <w:rsid w:val="00252492"/>
    <w:rsid w:val="00252ED4"/>
    <w:rsid w:val="00253237"/>
    <w:rsid w:val="00253851"/>
    <w:rsid w:val="00257A48"/>
    <w:rsid w:val="002660AA"/>
    <w:rsid w:val="0026723A"/>
    <w:rsid w:val="002707CC"/>
    <w:rsid w:val="0027241E"/>
    <w:rsid w:val="00273754"/>
    <w:rsid w:val="00274C42"/>
    <w:rsid w:val="002766CE"/>
    <w:rsid w:val="00277F86"/>
    <w:rsid w:val="002918E1"/>
    <w:rsid w:val="00291916"/>
    <w:rsid w:val="0029412F"/>
    <w:rsid w:val="00295CD9"/>
    <w:rsid w:val="002A04BE"/>
    <w:rsid w:val="002A1061"/>
    <w:rsid w:val="002A2B09"/>
    <w:rsid w:val="002A3B0C"/>
    <w:rsid w:val="002A49CF"/>
    <w:rsid w:val="002B0605"/>
    <w:rsid w:val="002B0816"/>
    <w:rsid w:val="002B1567"/>
    <w:rsid w:val="002B5999"/>
    <w:rsid w:val="002B5C97"/>
    <w:rsid w:val="002B7220"/>
    <w:rsid w:val="002C239F"/>
    <w:rsid w:val="002C27A0"/>
    <w:rsid w:val="002C2DC7"/>
    <w:rsid w:val="002C6144"/>
    <w:rsid w:val="002C7F7F"/>
    <w:rsid w:val="002D1285"/>
    <w:rsid w:val="002D22C2"/>
    <w:rsid w:val="002D4644"/>
    <w:rsid w:val="002D573E"/>
    <w:rsid w:val="002D61DA"/>
    <w:rsid w:val="002D6354"/>
    <w:rsid w:val="002D6D1E"/>
    <w:rsid w:val="002D775A"/>
    <w:rsid w:val="002E1101"/>
    <w:rsid w:val="002E141F"/>
    <w:rsid w:val="002E1A83"/>
    <w:rsid w:val="002E1A8D"/>
    <w:rsid w:val="002E26A4"/>
    <w:rsid w:val="002E2BD6"/>
    <w:rsid w:val="002E495E"/>
    <w:rsid w:val="002E5D60"/>
    <w:rsid w:val="002F461D"/>
    <w:rsid w:val="002F4B59"/>
    <w:rsid w:val="002F5005"/>
    <w:rsid w:val="002F7055"/>
    <w:rsid w:val="0030073A"/>
    <w:rsid w:val="00300E61"/>
    <w:rsid w:val="003026DD"/>
    <w:rsid w:val="003079CB"/>
    <w:rsid w:val="00310801"/>
    <w:rsid w:val="00315983"/>
    <w:rsid w:val="003248A6"/>
    <w:rsid w:val="0032592D"/>
    <w:rsid w:val="00325A89"/>
    <w:rsid w:val="00325F39"/>
    <w:rsid w:val="0033043B"/>
    <w:rsid w:val="00330EA9"/>
    <w:rsid w:val="00331462"/>
    <w:rsid w:val="00332FA0"/>
    <w:rsid w:val="00335A99"/>
    <w:rsid w:val="00340F2C"/>
    <w:rsid w:val="003440B3"/>
    <w:rsid w:val="003467F0"/>
    <w:rsid w:val="0035359A"/>
    <w:rsid w:val="00353E14"/>
    <w:rsid w:val="00355FE5"/>
    <w:rsid w:val="003563C2"/>
    <w:rsid w:val="003572D6"/>
    <w:rsid w:val="00361079"/>
    <w:rsid w:val="00361ADD"/>
    <w:rsid w:val="003639E8"/>
    <w:rsid w:val="003645FB"/>
    <w:rsid w:val="0036735B"/>
    <w:rsid w:val="0036771B"/>
    <w:rsid w:val="00370AF3"/>
    <w:rsid w:val="00373678"/>
    <w:rsid w:val="00375AA5"/>
    <w:rsid w:val="0037633B"/>
    <w:rsid w:val="00376CFA"/>
    <w:rsid w:val="00376E4D"/>
    <w:rsid w:val="00377237"/>
    <w:rsid w:val="0037769B"/>
    <w:rsid w:val="00381392"/>
    <w:rsid w:val="0038180D"/>
    <w:rsid w:val="00381949"/>
    <w:rsid w:val="00382F80"/>
    <w:rsid w:val="0039141E"/>
    <w:rsid w:val="0039259A"/>
    <w:rsid w:val="00392742"/>
    <w:rsid w:val="00394B2A"/>
    <w:rsid w:val="0039708C"/>
    <w:rsid w:val="00397E41"/>
    <w:rsid w:val="003A1F83"/>
    <w:rsid w:val="003A2503"/>
    <w:rsid w:val="003A2C66"/>
    <w:rsid w:val="003A57BF"/>
    <w:rsid w:val="003A5CB9"/>
    <w:rsid w:val="003B51FB"/>
    <w:rsid w:val="003C118B"/>
    <w:rsid w:val="003C3AFD"/>
    <w:rsid w:val="003C4220"/>
    <w:rsid w:val="003C6B7A"/>
    <w:rsid w:val="003C6E8C"/>
    <w:rsid w:val="003D0430"/>
    <w:rsid w:val="003D16CD"/>
    <w:rsid w:val="003D3A72"/>
    <w:rsid w:val="003D4D9D"/>
    <w:rsid w:val="003D7C4F"/>
    <w:rsid w:val="003E08FF"/>
    <w:rsid w:val="003E3E4C"/>
    <w:rsid w:val="003E5AF7"/>
    <w:rsid w:val="003E5B4A"/>
    <w:rsid w:val="003E66D5"/>
    <w:rsid w:val="003F024E"/>
    <w:rsid w:val="003F1C86"/>
    <w:rsid w:val="003F7155"/>
    <w:rsid w:val="003F77E0"/>
    <w:rsid w:val="00401878"/>
    <w:rsid w:val="00401F45"/>
    <w:rsid w:val="00402DE3"/>
    <w:rsid w:val="00403120"/>
    <w:rsid w:val="004048AA"/>
    <w:rsid w:val="00410CC4"/>
    <w:rsid w:val="00412438"/>
    <w:rsid w:val="00412B58"/>
    <w:rsid w:val="004144C2"/>
    <w:rsid w:val="0042573D"/>
    <w:rsid w:val="00432424"/>
    <w:rsid w:val="00432A15"/>
    <w:rsid w:val="004359AC"/>
    <w:rsid w:val="00435DA4"/>
    <w:rsid w:val="00435EC0"/>
    <w:rsid w:val="00436565"/>
    <w:rsid w:val="004379A6"/>
    <w:rsid w:val="00437E6C"/>
    <w:rsid w:val="00440087"/>
    <w:rsid w:val="00440EBE"/>
    <w:rsid w:val="0044660D"/>
    <w:rsid w:val="0044753A"/>
    <w:rsid w:val="00447FCC"/>
    <w:rsid w:val="004530F0"/>
    <w:rsid w:val="00454B0A"/>
    <w:rsid w:val="00455721"/>
    <w:rsid w:val="0045638D"/>
    <w:rsid w:val="0046020E"/>
    <w:rsid w:val="00460339"/>
    <w:rsid w:val="0046196B"/>
    <w:rsid w:val="00461C04"/>
    <w:rsid w:val="00466D2A"/>
    <w:rsid w:val="00470056"/>
    <w:rsid w:val="00471B6A"/>
    <w:rsid w:val="00474F7D"/>
    <w:rsid w:val="00475E02"/>
    <w:rsid w:val="004801EA"/>
    <w:rsid w:val="00480559"/>
    <w:rsid w:val="00481EA5"/>
    <w:rsid w:val="00482F5D"/>
    <w:rsid w:val="0048326C"/>
    <w:rsid w:val="00483661"/>
    <w:rsid w:val="00484F97"/>
    <w:rsid w:val="00490389"/>
    <w:rsid w:val="00493E13"/>
    <w:rsid w:val="00495567"/>
    <w:rsid w:val="00496382"/>
    <w:rsid w:val="0049677D"/>
    <w:rsid w:val="00497197"/>
    <w:rsid w:val="004A1181"/>
    <w:rsid w:val="004A3AC8"/>
    <w:rsid w:val="004A3F7B"/>
    <w:rsid w:val="004A52A9"/>
    <w:rsid w:val="004A655B"/>
    <w:rsid w:val="004A7123"/>
    <w:rsid w:val="004A7E9F"/>
    <w:rsid w:val="004B041C"/>
    <w:rsid w:val="004B16E5"/>
    <w:rsid w:val="004B1B4E"/>
    <w:rsid w:val="004B4ACD"/>
    <w:rsid w:val="004B64BB"/>
    <w:rsid w:val="004B660E"/>
    <w:rsid w:val="004B7401"/>
    <w:rsid w:val="004C1838"/>
    <w:rsid w:val="004C3A5F"/>
    <w:rsid w:val="004C3CF6"/>
    <w:rsid w:val="004D2084"/>
    <w:rsid w:val="004D509A"/>
    <w:rsid w:val="004D6897"/>
    <w:rsid w:val="004E3646"/>
    <w:rsid w:val="004E43EA"/>
    <w:rsid w:val="004E4AEC"/>
    <w:rsid w:val="004E555C"/>
    <w:rsid w:val="004E71F2"/>
    <w:rsid w:val="004F22FD"/>
    <w:rsid w:val="004F2AD7"/>
    <w:rsid w:val="004F3FFC"/>
    <w:rsid w:val="004F6F26"/>
    <w:rsid w:val="004F6F71"/>
    <w:rsid w:val="00501A98"/>
    <w:rsid w:val="0050684E"/>
    <w:rsid w:val="00506EEA"/>
    <w:rsid w:val="0050708A"/>
    <w:rsid w:val="00507EF5"/>
    <w:rsid w:val="005105DE"/>
    <w:rsid w:val="005127E7"/>
    <w:rsid w:val="00512AD7"/>
    <w:rsid w:val="0051519B"/>
    <w:rsid w:val="00515AF8"/>
    <w:rsid w:val="00515D35"/>
    <w:rsid w:val="00515DF1"/>
    <w:rsid w:val="0052249E"/>
    <w:rsid w:val="00523053"/>
    <w:rsid w:val="00526CF8"/>
    <w:rsid w:val="005272C8"/>
    <w:rsid w:val="00527A23"/>
    <w:rsid w:val="00530A8A"/>
    <w:rsid w:val="00534882"/>
    <w:rsid w:val="00536B2F"/>
    <w:rsid w:val="00540640"/>
    <w:rsid w:val="005415F1"/>
    <w:rsid w:val="00542046"/>
    <w:rsid w:val="00543E72"/>
    <w:rsid w:val="00547DA4"/>
    <w:rsid w:val="00550F09"/>
    <w:rsid w:val="00550FF6"/>
    <w:rsid w:val="00551E4A"/>
    <w:rsid w:val="00556C19"/>
    <w:rsid w:val="00556EFE"/>
    <w:rsid w:val="00557622"/>
    <w:rsid w:val="00560365"/>
    <w:rsid w:val="00560E86"/>
    <w:rsid w:val="00561A56"/>
    <w:rsid w:val="005629DD"/>
    <w:rsid w:val="00563456"/>
    <w:rsid w:val="00563E70"/>
    <w:rsid w:val="0057187A"/>
    <w:rsid w:val="00571DBA"/>
    <w:rsid w:val="005726C4"/>
    <w:rsid w:val="0057447B"/>
    <w:rsid w:val="00577F83"/>
    <w:rsid w:val="00580872"/>
    <w:rsid w:val="00582070"/>
    <w:rsid w:val="00582B19"/>
    <w:rsid w:val="00584990"/>
    <w:rsid w:val="00586EAE"/>
    <w:rsid w:val="005870CF"/>
    <w:rsid w:val="00587598"/>
    <w:rsid w:val="00587CE8"/>
    <w:rsid w:val="00590250"/>
    <w:rsid w:val="00591CD9"/>
    <w:rsid w:val="0059553F"/>
    <w:rsid w:val="005974E8"/>
    <w:rsid w:val="00597A15"/>
    <w:rsid w:val="00597F76"/>
    <w:rsid w:val="005A06F3"/>
    <w:rsid w:val="005A0A9F"/>
    <w:rsid w:val="005A1C44"/>
    <w:rsid w:val="005A2057"/>
    <w:rsid w:val="005A41F3"/>
    <w:rsid w:val="005A5E2E"/>
    <w:rsid w:val="005B0B01"/>
    <w:rsid w:val="005B0BA1"/>
    <w:rsid w:val="005B3097"/>
    <w:rsid w:val="005B3F31"/>
    <w:rsid w:val="005C3CB6"/>
    <w:rsid w:val="005C4BED"/>
    <w:rsid w:val="005C6B75"/>
    <w:rsid w:val="005C7AA5"/>
    <w:rsid w:val="005D02AB"/>
    <w:rsid w:val="005D0B0C"/>
    <w:rsid w:val="005D0BF1"/>
    <w:rsid w:val="005D25F7"/>
    <w:rsid w:val="005D4D7A"/>
    <w:rsid w:val="005D54A1"/>
    <w:rsid w:val="005E2602"/>
    <w:rsid w:val="005E3378"/>
    <w:rsid w:val="005E4807"/>
    <w:rsid w:val="005E5A74"/>
    <w:rsid w:val="005F1089"/>
    <w:rsid w:val="005F12AF"/>
    <w:rsid w:val="005F2B99"/>
    <w:rsid w:val="005F60A0"/>
    <w:rsid w:val="005F632E"/>
    <w:rsid w:val="005F68FA"/>
    <w:rsid w:val="005F6E93"/>
    <w:rsid w:val="005F7C9B"/>
    <w:rsid w:val="00601A2D"/>
    <w:rsid w:val="006040AE"/>
    <w:rsid w:val="006046A1"/>
    <w:rsid w:val="00604F14"/>
    <w:rsid w:val="00605459"/>
    <w:rsid w:val="00605B7F"/>
    <w:rsid w:val="00606703"/>
    <w:rsid w:val="00611170"/>
    <w:rsid w:val="00611F69"/>
    <w:rsid w:val="006133E7"/>
    <w:rsid w:val="00613BFF"/>
    <w:rsid w:val="00617CBC"/>
    <w:rsid w:val="00620418"/>
    <w:rsid w:val="00622474"/>
    <w:rsid w:val="00622F8C"/>
    <w:rsid w:val="00623EB4"/>
    <w:rsid w:val="00624125"/>
    <w:rsid w:val="00624303"/>
    <w:rsid w:val="00630F19"/>
    <w:rsid w:val="00631C67"/>
    <w:rsid w:val="006337E9"/>
    <w:rsid w:val="00633CC6"/>
    <w:rsid w:val="00636500"/>
    <w:rsid w:val="0064278B"/>
    <w:rsid w:val="00642B5B"/>
    <w:rsid w:val="00643FC6"/>
    <w:rsid w:val="006442E3"/>
    <w:rsid w:val="0064775A"/>
    <w:rsid w:val="00650088"/>
    <w:rsid w:val="00653707"/>
    <w:rsid w:val="0065447A"/>
    <w:rsid w:val="00655BA3"/>
    <w:rsid w:val="00660B7A"/>
    <w:rsid w:val="00662AE1"/>
    <w:rsid w:val="006634CC"/>
    <w:rsid w:val="006645F3"/>
    <w:rsid w:val="006649EA"/>
    <w:rsid w:val="00665756"/>
    <w:rsid w:val="00665CB4"/>
    <w:rsid w:val="00666A1C"/>
    <w:rsid w:val="0066715A"/>
    <w:rsid w:val="00670B43"/>
    <w:rsid w:val="00671A96"/>
    <w:rsid w:val="006720C2"/>
    <w:rsid w:val="00673E54"/>
    <w:rsid w:val="00677A0A"/>
    <w:rsid w:val="00680B67"/>
    <w:rsid w:val="0068557E"/>
    <w:rsid w:val="00686995"/>
    <w:rsid w:val="00691BB2"/>
    <w:rsid w:val="006923A6"/>
    <w:rsid w:val="00693C29"/>
    <w:rsid w:val="00694ADC"/>
    <w:rsid w:val="006957E2"/>
    <w:rsid w:val="0069592A"/>
    <w:rsid w:val="0069671C"/>
    <w:rsid w:val="00696FF6"/>
    <w:rsid w:val="006A0FB4"/>
    <w:rsid w:val="006A15C8"/>
    <w:rsid w:val="006A3CC1"/>
    <w:rsid w:val="006A5759"/>
    <w:rsid w:val="006A7D1A"/>
    <w:rsid w:val="006B03B3"/>
    <w:rsid w:val="006B0662"/>
    <w:rsid w:val="006B1323"/>
    <w:rsid w:val="006B293F"/>
    <w:rsid w:val="006B3394"/>
    <w:rsid w:val="006B4363"/>
    <w:rsid w:val="006C020F"/>
    <w:rsid w:val="006C0937"/>
    <w:rsid w:val="006C0BAC"/>
    <w:rsid w:val="006C3957"/>
    <w:rsid w:val="006D4E3D"/>
    <w:rsid w:val="006D6B1A"/>
    <w:rsid w:val="006D7909"/>
    <w:rsid w:val="006E1D0C"/>
    <w:rsid w:val="006E2E4D"/>
    <w:rsid w:val="006E4184"/>
    <w:rsid w:val="006E4B10"/>
    <w:rsid w:val="006E60D3"/>
    <w:rsid w:val="006E67BB"/>
    <w:rsid w:val="006F1DAA"/>
    <w:rsid w:val="006F1F08"/>
    <w:rsid w:val="006F4829"/>
    <w:rsid w:val="006F56F6"/>
    <w:rsid w:val="00700C6E"/>
    <w:rsid w:val="00700E82"/>
    <w:rsid w:val="0070193E"/>
    <w:rsid w:val="00702AE2"/>
    <w:rsid w:val="007065B5"/>
    <w:rsid w:val="00711EE3"/>
    <w:rsid w:val="00713B54"/>
    <w:rsid w:val="00715F17"/>
    <w:rsid w:val="00721148"/>
    <w:rsid w:val="00721981"/>
    <w:rsid w:val="00723777"/>
    <w:rsid w:val="00734D10"/>
    <w:rsid w:val="00735247"/>
    <w:rsid w:val="00735BDF"/>
    <w:rsid w:val="00735FBD"/>
    <w:rsid w:val="0073644B"/>
    <w:rsid w:val="00737F85"/>
    <w:rsid w:val="00737FD2"/>
    <w:rsid w:val="0074143A"/>
    <w:rsid w:val="007419EB"/>
    <w:rsid w:val="00744337"/>
    <w:rsid w:val="0074477F"/>
    <w:rsid w:val="007507E9"/>
    <w:rsid w:val="007507EA"/>
    <w:rsid w:val="0075142C"/>
    <w:rsid w:val="00751E79"/>
    <w:rsid w:val="00752D27"/>
    <w:rsid w:val="00752DB7"/>
    <w:rsid w:val="00753A65"/>
    <w:rsid w:val="00755DC9"/>
    <w:rsid w:val="007600FD"/>
    <w:rsid w:val="00761478"/>
    <w:rsid w:val="0076176E"/>
    <w:rsid w:val="00762057"/>
    <w:rsid w:val="00763D81"/>
    <w:rsid w:val="007650ED"/>
    <w:rsid w:val="007674C2"/>
    <w:rsid w:val="007706B1"/>
    <w:rsid w:val="00773C86"/>
    <w:rsid w:val="00776373"/>
    <w:rsid w:val="00776BB5"/>
    <w:rsid w:val="00781269"/>
    <w:rsid w:val="00783338"/>
    <w:rsid w:val="007843FB"/>
    <w:rsid w:val="0078635A"/>
    <w:rsid w:val="00791431"/>
    <w:rsid w:val="00793D93"/>
    <w:rsid w:val="007946A1"/>
    <w:rsid w:val="0079499E"/>
    <w:rsid w:val="00795DB2"/>
    <w:rsid w:val="00795E3A"/>
    <w:rsid w:val="00796623"/>
    <w:rsid w:val="007A0790"/>
    <w:rsid w:val="007A0B96"/>
    <w:rsid w:val="007A17A6"/>
    <w:rsid w:val="007A1A15"/>
    <w:rsid w:val="007A3B79"/>
    <w:rsid w:val="007A46FB"/>
    <w:rsid w:val="007A4A91"/>
    <w:rsid w:val="007A559E"/>
    <w:rsid w:val="007A6F90"/>
    <w:rsid w:val="007A712F"/>
    <w:rsid w:val="007B0AE0"/>
    <w:rsid w:val="007B2054"/>
    <w:rsid w:val="007B51DF"/>
    <w:rsid w:val="007C1DC4"/>
    <w:rsid w:val="007C2935"/>
    <w:rsid w:val="007C544F"/>
    <w:rsid w:val="007C56C7"/>
    <w:rsid w:val="007D0097"/>
    <w:rsid w:val="007D07DD"/>
    <w:rsid w:val="007D2652"/>
    <w:rsid w:val="007D3D81"/>
    <w:rsid w:val="007D42A2"/>
    <w:rsid w:val="007D6145"/>
    <w:rsid w:val="007D71EB"/>
    <w:rsid w:val="007D76D3"/>
    <w:rsid w:val="007E0435"/>
    <w:rsid w:val="007E252A"/>
    <w:rsid w:val="007E28F8"/>
    <w:rsid w:val="007E3375"/>
    <w:rsid w:val="007E3C34"/>
    <w:rsid w:val="007E542D"/>
    <w:rsid w:val="007E5511"/>
    <w:rsid w:val="007F0388"/>
    <w:rsid w:val="007F6E71"/>
    <w:rsid w:val="00800A81"/>
    <w:rsid w:val="00800D7F"/>
    <w:rsid w:val="00804095"/>
    <w:rsid w:val="00804106"/>
    <w:rsid w:val="0080697D"/>
    <w:rsid w:val="008112BD"/>
    <w:rsid w:val="008120E6"/>
    <w:rsid w:val="008134F7"/>
    <w:rsid w:val="00816960"/>
    <w:rsid w:val="0081773E"/>
    <w:rsid w:val="00821B23"/>
    <w:rsid w:val="00825503"/>
    <w:rsid w:val="00825F5E"/>
    <w:rsid w:val="00826453"/>
    <w:rsid w:val="0082791F"/>
    <w:rsid w:val="008329A5"/>
    <w:rsid w:val="008377D4"/>
    <w:rsid w:val="00846627"/>
    <w:rsid w:val="008528B1"/>
    <w:rsid w:val="00852F55"/>
    <w:rsid w:val="008532D1"/>
    <w:rsid w:val="008548C2"/>
    <w:rsid w:val="00856F3F"/>
    <w:rsid w:val="00860BD5"/>
    <w:rsid w:val="00862CA9"/>
    <w:rsid w:val="008630AC"/>
    <w:rsid w:val="00863125"/>
    <w:rsid w:val="0086322F"/>
    <w:rsid w:val="00863860"/>
    <w:rsid w:val="00864536"/>
    <w:rsid w:val="00865898"/>
    <w:rsid w:val="00865DA8"/>
    <w:rsid w:val="00870075"/>
    <w:rsid w:val="008702F4"/>
    <w:rsid w:val="00870CE8"/>
    <w:rsid w:val="0087183D"/>
    <w:rsid w:val="00872E2F"/>
    <w:rsid w:val="00880631"/>
    <w:rsid w:val="00880CD4"/>
    <w:rsid w:val="008813BC"/>
    <w:rsid w:val="00881B63"/>
    <w:rsid w:val="00882B82"/>
    <w:rsid w:val="0088379A"/>
    <w:rsid w:val="008847CF"/>
    <w:rsid w:val="0088569C"/>
    <w:rsid w:val="008859E7"/>
    <w:rsid w:val="008864E7"/>
    <w:rsid w:val="008879AC"/>
    <w:rsid w:val="008904F5"/>
    <w:rsid w:val="008913C9"/>
    <w:rsid w:val="00892ECC"/>
    <w:rsid w:val="008978C5"/>
    <w:rsid w:val="00897C5D"/>
    <w:rsid w:val="008B062B"/>
    <w:rsid w:val="008B17D4"/>
    <w:rsid w:val="008B1D9E"/>
    <w:rsid w:val="008B1E5F"/>
    <w:rsid w:val="008B41B5"/>
    <w:rsid w:val="008B6292"/>
    <w:rsid w:val="008B6544"/>
    <w:rsid w:val="008C3D04"/>
    <w:rsid w:val="008C696C"/>
    <w:rsid w:val="008C6F60"/>
    <w:rsid w:val="008C73C3"/>
    <w:rsid w:val="008D0515"/>
    <w:rsid w:val="008D291A"/>
    <w:rsid w:val="008D356B"/>
    <w:rsid w:val="008D3A43"/>
    <w:rsid w:val="008D3FAB"/>
    <w:rsid w:val="008D4C5F"/>
    <w:rsid w:val="008D4FB4"/>
    <w:rsid w:val="008D5A5F"/>
    <w:rsid w:val="008D5CAC"/>
    <w:rsid w:val="008D6299"/>
    <w:rsid w:val="008D7DA2"/>
    <w:rsid w:val="008D7F30"/>
    <w:rsid w:val="008E1B9E"/>
    <w:rsid w:val="008E1F04"/>
    <w:rsid w:val="008E3C11"/>
    <w:rsid w:val="008E3E51"/>
    <w:rsid w:val="008E56A4"/>
    <w:rsid w:val="008E7662"/>
    <w:rsid w:val="008F0669"/>
    <w:rsid w:val="008F111C"/>
    <w:rsid w:val="008F3A96"/>
    <w:rsid w:val="008F5CD6"/>
    <w:rsid w:val="008F7309"/>
    <w:rsid w:val="009010D2"/>
    <w:rsid w:val="00901A01"/>
    <w:rsid w:val="009028E2"/>
    <w:rsid w:val="009046A0"/>
    <w:rsid w:val="00906728"/>
    <w:rsid w:val="00907DFF"/>
    <w:rsid w:val="00910BD6"/>
    <w:rsid w:val="00911F58"/>
    <w:rsid w:val="00913F3D"/>
    <w:rsid w:val="0091417D"/>
    <w:rsid w:val="00915AFD"/>
    <w:rsid w:val="009163BD"/>
    <w:rsid w:val="0092100A"/>
    <w:rsid w:val="009217D0"/>
    <w:rsid w:val="00924112"/>
    <w:rsid w:val="00925685"/>
    <w:rsid w:val="00933368"/>
    <w:rsid w:val="00933B0B"/>
    <w:rsid w:val="00934506"/>
    <w:rsid w:val="00934CFC"/>
    <w:rsid w:val="00935A71"/>
    <w:rsid w:val="00943FB9"/>
    <w:rsid w:val="0094689F"/>
    <w:rsid w:val="009512F3"/>
    <w:rsid w:val="00953059"/>
    <w:rsid w:val="00954FE0"/>
    <w:rsid w:val="009637D6"/>
    <w:rsid w:val="00967535"/>
    <w:rsid w:val="00967DF2"/>
    <w:rsid w:val="009704AD"/>
    <w:rsid w:val="00974AF0"/>
    <w:rsid w:val="00974D38"/>
    <w:rsid w:val="00980DFE"/>
    <w:rsid w:val="009825F1"/>
    <w:rsid w:val="00983456"/>
    <w:rsid w:val="009840AB"/>
    <w:rsid w:val="00985807"/>
    <w:rsid w:val="0098718F"/>
    <w:rsid w:val="00990AC0"/>
    <w:rsid w:val="009929A4"/>
    <w:rsid w:val="00992A4F"/>
    <w:rsid w:val="009931D8"/>
    <w:rsid w:val="00993DA4"/>
    <w:rsid w:val="009951F4"/>
    <w:rsid w:val="009978AE"/>
    <w:rsid w:val="009A05BA"/>
    <w:rsid w:val="009A225D"/>
    <w:rsid w:val="009A3CB5"/>
    <w:rsid w:val="009A4C49"/>
    <w:rsid w:val="009A4D9F"/>
    <w:rsid w:val="009A58A1"/>
    <w:rsid w:val="009A5933"/>
    <w:rsid w:val="009A6095"/>
    <w:rsid w:val="009A7885"/>
    <w:rsid w:val="009A7B0E"/>
    <w:rsid w:val="009B1DFF"/>
    <w:rsid w:val="009B2874"/>
    <w:rsid w:val="009B34E7"/>
    <w:rsid w:val="009B4FC2"/>
    <w:rsid w:val="009C11DC"/>
    <w:rsid w:val="009C3292"/>
    <w:rsid w:val="009C34EC"/>
    <w:rsid w:val="009C515A"/>
    <w:rsid w:val="009C6EA0"/>
    <w:rsid w:val="009D162E"/>
    <w:rsid w:val="009D324B"/>
    <w:rsid w:val="009D69E4"/>
    <w:rsid w:val="009E1F2E"/>
    <w:rsid w:val="009E2A0B"/>
    <w:rsid w:val="009E4A40"/>
    <w:rsid w:val="009E763F"/>
    <w:rsid w:val="009F0EA5"/>
    <w:rsid w:val="009F2290"/>
    <w:rsid w:val="009F639E"/>
    <w:rsid w:val="009F7F28"/>
    <w:rsid w:val="00A05E65"/>
    <w:rsid w:val="00A07B77"/>
    <w:rsid w:val="00A1028A"/>
    <w:rsid w:val="00A1148B"/>
    <w:rsid w:val="00A133BB"/>
    <w:rsid w:val="00A16FCB"/>
    <w:rsid w:val="00A217A1"/>
    <w:rsid w:val="00A23A6B"/>
    <w:rsid w:val="00A25A8E"/>
    <w:rsid w:val="00A3272C"/>
    <w:rsid w:val="00A337D7"/>
    <w:rsid w:val="00A34870"/>
    <w:rsid w:val="00A36415"/>
    <w:rsid w:val="00A370DA"/>
    <w:rsid w:val="00A377A0"/>
    <w:rsid w:val="00A4081D"/>
    <w:rsid w:val="00A40C0A"/>
    <w:rsid w:val="00A44993"/>
    <w:rsid w:val="00A460B7"/>
    <w:rsid w:val="00A469B6"/>
    <w:rsid w:val="00A51777"/>
    <w:rsid w:val="00A520D3"/>
    <w:rsid w:val="00A53D7F"/>
    <w:rsid w:val="00A553AD"/>
    <w:rsid w:val="00A57A55"/>
    <w:rsid w:val="00A65883"/>
    <w:rsid w:val="00A70024"/>
    <w:rsid w:val="00A70976"/>
    <w:rsid w:val="00A7161D"/>
    <w:rsid w:val="00A71E10"/>
    <w:rsid w:val="00A74679"/>
    <w:rsid w:val="00A77FFE"/>
    <w:rsid w:val="00A831B4"/>
    <w:rsid w:val="00A83BD8"/>
    <w:rsid w:val="00A842F7"/>
    <w:rsid w:val="00A848A4"/>
    <w:rsid w:val="00A8676A"/>
    <w:rsid w:val="00A90A02"/>
    <w:rsid w:val="00A90D2B"/>
    <w:rsid w:val="00A92051"/>
    <w:rsid w:val="00A92D27"/>
    <w:rsid w:val="00A9300B"/>
    <w:rsid w:val="00A930B3"/>
    <w:rsid w:val="00A94018"/>
    <w:rsid w:val="00A945CD"/>
    <w:rsid w:val="00A9570A"/>
    <w:rsid w:val="00A961DC"/>
    <w:rsid w:val="00AA0801"/>
    <w:rsid w:val="00AA2EFC"/>
    <w:rsid w:val="00AA322B"/>
    <w:rsid w:val="00AA5B72"/>
    <w:rsid w:val="00AA62BB"/>
    <w:rsid w:val="00AA6855"/>
    <w:rsid w:val="00AB0DB1"/>
    <w:rsid w:val="00AB5294"/>
    <w:rsid w:val="00AC0C04"/>
    <w:rsid w:val="00AC106D"/>
    <w:rsid w:val="00AC2B1B"/>
    <w:rsid w:val="00AC5749"/>
    <w:rsid w:val="00AC606D"/>
    <w:rsid w:val="00AD0208"/>
    <w:rsid w:val="00AD2F03"/>
    <w:rsid w:val="00AD3761"/>
    <w:rsid w:val="00AD52E7"/>
    <w:rsid w:val="00AD5477"/>
    <w:rsid w:val="00AD6ACD"/>
    <w:rsid w:val="00AE0491"/>
    <w:rsid w:val="00AE2B99"/>
    <w:rsid w:val="00AE36FE"/>
    <w:rsid w:val="00AE3DEE"/>
    <w:rsid w:val="00AE4763"/>
    <w:rsid w:val="00AE572F"/>
    <w:rsid w:val="00AE6379"/>
    <w:rsid w:val="00AF0E4F"/>
    <w:rsid w:val="00AF10A7"/>
    <w:rsid w:val="00AF340C"/>
    <w:rsid w:val="00B05703"/>
    <w:rsid w:val="00B05C54"/>
    <w:rsid w:val="00B07E08"/>
    <w:rsid w:val="00B10EA7"/>
    <w:rsid w:val="00B10F36"/>
    <w:rsid w:val="00B1177A"/>
    <w:rsid w:val="00B11CB6"/>
    <w:rsid w:val="00B120EB"/>
    <w:rsid w:val="00B13FDE"/>
    <w:rsid w:val="00B149E0"/>
    <w:rsid w:val="00B153B8"/>
    <w:rsid w:val="00B16210"/>
    <w:rsid w:val="00B177C5"/>
    <w:rsid w:val="00B17E8E"/>
    <w:rsid w:val="00B20366"/>
    <w:rsid w:val="00B206A6"/>
    <w:rsid w:val="00B20DA7"/>
    <w:rsid w:val="00B20F18"/>
    <w:rsid w:val="00B2372E"/>
    <w:rsid w:val="00B25D79"/>
    <w:rsid w:val="00B2620F"/>
    <w:rsid w:val="00B27363"/>
    <w:rsid w:val="00B303FB"/>
    <w:rsid w:val="00B30A0E"/>
    <w:rsid w:val="00B32811"/>
    <w:rsid w:val="00B409B6"/>
    <w:rsid w:val="00B42F07"/>
    <w:rsid w:val="00B431BE"/>
    <w:rsid w:val="00B500BB"/>
    <w:rsid w:val="00B50969"/>
    <w:rsid w:val="00B51EB8"/>
    <w:rsid w:val="00B52B89"/>
    <w:rsid w:val="00B56840"/>
    <w:rsid w:val="00B575D0"/>
    <w:rsid w:val="00B57EAF"/>
    <w:rsid w:val="00B62092"/>
    <w:rsid w:val="00B62519"/>
    <w:rsid w:val="00B631AC"/>
    <w:rsid w:val="00B639A2"/>
    <w:rsid w:val="00B647A5"/>
    <w:rsid w:val="00B64C25"/>
    <w:rsid w:val="00B65016"/>
    <w:rsid w:val="00B66EEB"/>
    <w:rsid w:val="00B67724"/>
    <w:rsid w:val="00B67992"/>
    <w:rsid w:val="00B67CCC"/>
    <w:rsid w:val="00B73FEA"/>
    <w:rsid w:val="00B76137"/>
    <w:rsid w:val="00B76345"/>
    <w:rsid w:val="00B76B14"/>
    <w:rsid w:val="00B80E70"/>
    <w:rsid w:val="00B82A08"/>
    <w:rsid w:val="00B82B6E"/>
    <w:rsid w:val="00B82CDA"/>
    <w:rsid w:val="00B85E82"/>
    <w:rsid w:val="00B87189"/>
    <w:rsid w:val="00B902BF"/>
    <w:rsid w:val="00B90407"/>
    <w:rsid w:val="00B91481"/>
    <w:rsid w:val="00B91DE9"/>
    <w:rsid w:val="00B91EF5"/>
    <w:rsid w:val="00B93830"/>
    <w:rsid w:val="00B94507"/>
    <w:rsid w:val="00B95179"/>
    <w:rsid w:val="00B95AA2"/>
    <w:rsid w:val="00B976D3"/>
    <w:rsid w:val="00BA33E0"/>
    <w:rsid w:val="00BA369B"/>
    <w:rsid w:val="00BA39B2"/>
    <w:rsid w:val="00BA51C1"/>
    <w:rsid w:val="00BA685F"/>
    <w:rsid w:val="00BA702C"/>
    <w:rsid w:val="00BA7406"/>
    <w:rsid w:val="00BB16FC"/>
    <w:rsid w:val="00BB1730"/>
    <w:rsid w:val="00BB4525"/>
    <w:rsid w:val="00BB537E"/>
    <w:rsid w:val="00BB5B29"/>
    <w:rsid w:val="00BB7DC3"/>
    <w:rsid w:val="00BC16E8"/>
    <w:rsid w:val="00BC2388"/>
    <w:rsid w:val="00BC63DC"/>
    <w:rsid w:val="00BC67FE"/>
    <w:rsid w:val="00BC75FA"/>
    <w:rsid w:val="00BD1256"/>
    <w:rsid w:val="00BD2CAD"/>
    <w:rsid w:val="00BE10F3"/>
    <w:rsid w:val="00BE1FC8"/>
    <w:rsid w:val="00BE2F82"/>
    <w:rsid w:val="00BE3088"/>
    <w:rsid w:val="00BE7A34"/>
    <w:rsid w:val="00BF09FD"/>
    <w:rsid w:val="00BF3D6C"/>
    <w:rsid w:val="00BF49EF"/>
    <w:rsid w:val="00BF6EC9"/>
    <w:rsid w:val="00C0086F"/>
    <w:rsid w:val="00C024CB"/>
    <w:rsid w:val="00C02586"/>
    <w:rsid w:val="00C03099"/>
    <w:rsid w:val="00C050F8"/>
    <w:rsid w:val="00C057B0"/>
    <w:rsid w:val="00C05F0D"/>
    <w:rsid w:val="00C064A0"/>
    <w:rsid w:val="00C07F7A"/>
    <w:rsid w:val="00C1037B"/>
    <w:rsid w:val="00C13958"/>
    <w:rsid w:val="00C16AD9"/>
    <w:rsid w:val="00C17EC3"/>
    <w:rsid w:val="00C20EB0"/>
    <w:rsid w:val="00C2118B"/>
    <w:rsid w:val="00C22FE3"/>
    <w:rsid w:val="00C23A83"/>
    <w:rsid w:val="00C25FAB"/>
    <w:rsid w:val="00C278D0"/>
    <w:rsid w:val="00C27BBD"/>
    <w:rsid w:val="00C316CF"/>
    <w:rsid w:val="00C32723"/>
    <w:rsid w:val="00C35983"/>
    <w:rsid w:val="00C3607C"/>
    <w:rsid w:val="00C36EB1"/>
    <w:rsid w:val="00C405D9"/>
    <w:rsid w:val="00C45DCB"/>
    <w:rsid w:val="00C46107"/>
    <w:rsid w:val="00C50FBA"/>
    <w:rsid w:val="00C52DBE"/>
    <w:rsid w:val="00C54DED"/>
    <w:rsid w:val="00C56922"/>
    <w:rsid w:val="00C572B8"/>
    <w:rsid w:val="00C57C44"/>
    <w:rsid w:val="00C607D9"/>
    <w:rsid w:val="00C61209"/>
    <w:rsid w:val="00C63394"/>
    <w:rsid w:val="00C64D93"/>
    <w:rsid w:val="00C65EFC"/>
    <w:rsid w:val="00C6601F"/>
    <w:rsid w:val="00C706F2"/>
    <w:rsid w:val="00C71FBC"/>
    <w:rsid w:val="00C732A9"/>
    <w:rsid w:val="00C769FF"/>
    <w:rsid w:val="00C80A74"/>
    <w:rsid w:val="00C8301B"/>
    <w:rsid w:val="00C84703"/>
    <w:rsid w:val="00C855BF"/>
    <w:rsid w:val="00C85C4D"/>
    <w:rsid w:val="00C94131"/>
    <w:rsid w:val="00C97B32"/>
    <w:rsid w:val="00CA2E15"/>
    <w:rsid w:val="00CA5A23"/>
    <w:rsid w:val="00CA711D"/>
    <w:rsid w:val="00CA7ECB"/>
    <w:rsid w:val="00CB019C"/>
    <w:rsid w:val="00CB05AD"/>
    <w:rsid w:val="00CB09BC"/>
    <w:rsid w:val="00CB1461"/>
    <w:rsid w:val="00CB1B57"/>
    <w:rsid w:val="00CB275E"/>
    <w:rsid w:val="00CB3092"/>
    <w:rsid w:val="00CB3B89"/>
    <w:rsid w:val="00CB789E"/>
    <w:rsid w:val="00CC520D"/>
    <w:rsid w:val="00CC7FF0"/>
    <w:rsid w:val="00CD1263"/>
    <w:rsid w:val="00CD22FB"/>
    <w:rsid w:val="00CD2325"/>
    <w:rsid w:val="00CD7AF1"/>
    <w:rsid w:val="00CE1DEA"/>
    <w:rsid w:val="00CE5BCE"/>
    <w:rsid w:val="00CF312D"/>
    <w:rsid w:val="00CF363A"/>
    <w:rsid w:val="00CF38B4"/>
    <w:rsid w:val="00CF3977"/>
    <w:rsid w:val="00D00122"/>
    <w:rsid w:val="00D003E6"/>
    <w:rsid w:val="00D00CB2"/>
    <w:rsid w:val="00D023B4"/>
    <w:rsid w:val="00D033E5"/>
    <w:rsid w:val="00D10735"/>
    <w:rsid w:val="00D10C4C"/>
    <w:rsid w:val="00D12833"/>
    <w:rsid w:val="00D148B9"/>
    <w:rsid w:val="00D15AE7"/>
    <w:rsid w:val="00D213B2"/>
    <w:rsid w:val="00D214D8"/>
    <w:rsid w:val="00D22DC9"/>
    <w:rsid w:val="00D25FE1"/>
    <w:rsid w:val="00D30FBE"/>
    <w:rsid w:val="00D3268C"/>
    <w:rsid w:val="00D331FB"/>
    <w:rsid w:val="00D33E9F"/>
    <w:rsid w:val="00D3407F"/>
    <w:rsid w:val="00D351A2"/>
    <w:rsid w:val="00D363FB"/>
    <w:rsid w:val="00D4178D"/>
    <w:rsid w:val="00D46C2A"/>
    <w:rsid w:val="00D50F0A"/>
    <w:rsid w:val="00D52433"/>
    <w:rsid w:val="00D5369B"/>
    <w:rsid w:val="00D54011"/>
    <w:rsid w:val="00D5501E"/>
    <w:rsid w:val="00D55A8A"/>
    <w:rsid w:val="00D60243"/>
    <w:rsid w:val="00D60C9B"/>
    <w:rsid w:val="00D619DB"/>
    <w:rsid w:val="00D62444"/>
    <w:rsid w:val="00D62C3C"/>
    <w:rsid w:val="00D6407A"/>
    <w:rsid w:val="00D64E63"/>
    <w:rsid w:val="00D651E7"/>
    <w:rsid w:val="00D65C37"/>
    <w:rsid w:val="00D70E00"/>
    <w:rsid w:val="00D745D2"/>
    <w:rsid w:val="00D7466A"/>
    <w:rsid w:val="00D74806"/>
    <w:rsid w:val="00D80474"/>
    <w:rsid w:val="00D80A97"/>
    <w:rsid w:val="00D81910"/>
    <w:rsid w:val="00D87CFA"/>
    <w:rsid w:val="00D90FCB"/>
    <w:rsid w:val="00D910E7"/>
    <w:rsid w:val="00D91BA9"/>
    <w:rsid w:val="00DA18B4"/>
    <w:rsid w:val="00DA1A47"/>
    <w:rsid w:val="00DA2BB8"/>
    <w:rsid w:val="00DA4F0B"/>
    <w:rsid w:val="00DB6A83"/>
    <w:rsid w:val="00DB7D1D"/>
    <w:rsid w:val="00DB7E90"/>
    <w:rsid w:val="00DC249F"/>
    <w:rsid w:val="00DC3B3B"/>
    <w:rsid w:val="00DC5622"/>
    <w:rsid w:val="00DC7A9C"/>
    <w:rsid w:val="00DD1AE3"/>
    <w:rsid w:val="00DD34CA"/>
    <w:rsid w:val="00DD406A"/>
    <w:rsid w:val="00DD63C9"/>
    <w:rsid w:val="00DD7688"/>
    <w:rsid w:val="00DE1966"/>
    <w:rsid w:val="00DE4832"/>
    <w:rsid w:val="00DE63AC"/>
    <w:rsid w:val="00DE666D"/>
    <w:rsid w:val="00DF3B50"/>
    <w:rsid w:val="00DF45B4"/>
    <w:rsid w:val="00DF7781"/>
    <w:rsid w:val="00E01528"/>
    <w:rsid w:val="00E01B8E"/>
    <w:rsid w:val="00E02113"/>
    <w:rsid w:val="00E02B50"/>
    <w:rsid w:val="00E03B14"/>
    <w:rsid w:val="00E03FB2"/>
    <w:rsid w:val="00E063DF"/>
    <w:rsid w:val="00E10A0B"/>
    <w:rsid w:val="00E10D6A"/>
    <w:rsid w:val="00E13B95"/>
    <w:rsid w:val="00E167D7"/>
    <w:rsid w:val="00E16F8B"/>
    <w:rsid w:val="00E20D01"/>
    <w:rsid w:val="00E22270"/>
    <w:rsid w:val="00E2390D"/>
    <w:rsid w:val="00E3126D"/>
    <w:rsid w:val="00E319B2"/>
    <w:rsid w:val="00E33098"/>
    <w:rsid w:val="00E35788"/>
    <w:rsid w:val="00E3676E"/>
    <w:rsid w:val="00E43203"/>
    <w:rsid w:val="00E45A63"/>
    <w:rsid w:val="00E51638"/>
    <w:rsid w:val="00E53A53"/>
    <w:rsid w:val="00E619B3"/>
    <w:rsid w:val="00E650AB"/>
    <w:rsid w:val="00E65330"/>
    <w:rsid w:val="00E65471"/>
    <w:rsid w:val="00E67B55"/>
    <w:rsid w:val="00E709D0"/>
    <w:rsid w:val="00E73EC4"/>
    <w:rsid w:val="00E759C9"/>
    <w:rsid w:val="00E8102E"/>
    <w:rsid w:val="00E816DD"/>
    <w:rsid w:val="00E86976"/>
    <w:rsid w:val="00E86B6C"/>
    <w:rsid w:val="00E96022"/>
    <w:rsid w:val="00EA27EB"/>
    <w:rsid w:val="00EB2319"/>
    <w:rsid w:val="00EB306E"/>
    <w:rsid w:val="00EB506E"/>
    <w:rsid w:val="00EB7D34"/>
    <w:rsid w:val="00EC0643"/>
    <w:rsid w:val="00EC41AF"/>
    <w:rsid w:val="00EC4EBC"/>
    <w:rsid w:val="00EC5E34"/>
    <w:rsid w:val="00ED40A2"/>
    <w:rsid w:val="00ED483D"/>
    <w:rsid w:val="00ED4B74"/>
    <w:rsid w:val="00ED6754"/>
    <w:rsid w:val="00EE0074"/>
    <w:rsid w:val="00EE257D"/>
    <w:rsid w:val="00EE2A41"/>
    <w:rsid w:val="00EE5A4E"/>
    <w:rsid w:val="00EE603E"/>
    <w:rsid w:val="00EE6C2F"/>
    <w:rsid w:val="00EF10B9"/>
    <w:rsid w:val="00EF2468"/>
    <w:rsid w:val="00EF2A73"/>
    <w:rsid w:val="00EF32B3"/>
    <w:rsid w:val="00EF5615"/>
    <w:rsid w:val="00EF7321"/>
    <w:rsid w:val="00F00365"/>
    <w:rsid w:val="00F01ADD"/>
    <w:rsid w:val="00F03E2E"/>
    <w:rsid w:val="00F04753"/>
    <w:rsid w:val="00F05A7C"/>
    <w:rsid w:val="00F07376"/>
    <w:rsid w:val="00F1105B"/>
    <w:rsid w:val="00F121C9"/>
    <w:rsid w:val="00F13FA6"/>
    <w:rsid w:val="00F14955"/>
    <w:rsid w:val="00F1511E"/>
    <w:rsid w:val="00F212CE"/>
    <w:rsid w:val="00F2387C"/>
    <w:rsid w:val="00F2687C"/>
    <w:rsid w:val="00F276C9"/>
    <w:rsid w:val="00F302AB"/>
    <w:rsid w:val="00F3226E"/>
    <w:rsid w:val="00F42D25"/>
    <w:rsid w:val="00F4385F"/>
    <w:rsid w:val="00F50065"/>
    <w:rsid w:val="00F53C6A"/>
    <w:rsid w:val="00F561EC"/>
    <w:rsid w:val="00F56AA7"/>
    <w:rsid w:val="00F57DA8"/>
    <w:rsid w:val="00F61364"/>
    <w:rsid w:val="00F62E9B"/>
    <w:rsid w:val="00F6454D"/>
    <w:rsid w:val="00F6681B"/>
    <w:rsid w:val="00F70D79"/>
    <w:rsid w:val="00F72B6E"/>
    <w:rsid w:val="00F73EAB"/>
    <w:rsid w:val="00F7490C"/>
    <w:rsid w:val="00F76F8D"/>
    <w:rsid w:val="00F80102"/>
    <w:rsid w:val="00F82CCF"/>
    <w:rsid w:val="00F85DC4"/>
    <w:rsid w:val="00F8662B"/>
    <w:rsid w:val="00F87BFE"/>
    <w:rsid w:val="00F90480"/>
    <w:rsid w:val="00F907C0"/>
    <w:rsid w:val="00F92A86"/>
    <w:rsid w:val="00F93C29"/>
    <w:rsid w:val="00F967E1"/>
    <w:rsid w:val="00FA0327"/>
    <w:rsid w:val="00FA1FCB"/>
    <w:rsid w:val="00FA30E8"/>
    <w:rsid w:val="00FA488F"/>
    <w:rsid w:val="00FA5F29"/>
    <w:rsid w:val="00FA65FF"/>
    <w:rsid w:val="00FA6D3F"/>
    <w:rsid w:val="00FB10D8"/>
    <w:rsid w:val="00FB30EB"/>
    <w:rsid w:val="00FB47C2"/>
    <w:rsid w:val="00FB5735"/>
    <w:rsid w:val="00FC0071"/>
    <w:rsid w:val="00FC0CCB"/>
    <w:rsid w:val="00FC1441"/>
    <w:rsid w:val="00FC1FA5"/>
    <w:rsid w:val="00FC2E50"/>
    <w:rsid w:val="00FC2EB1"/>
    <w:rsid w:val="00FC331F"/>
    <w:rsid w:val="00FC3401"/>
    <w:rsid w:val="00FC4E57"/>
    <w:rsid w:val="00FC51E4"/>
    <w:rsid w:val="00FC5CA8"/>
    <w:rsid w:val="00FD0A16"/>
    <w:rsid w:val="00FD0D33"/>
    <w:rsid w:val="00FD15CC"/>
    <w:rsid w:val="00FD1DBF"/>
    <w:rsid w:val="00FD348E"/>
    <w:rsid w:val="00FD3DAA"/>
    <w:rsid w:val="00FD7561"/>
    <w:rsid w:val="00FE050E"/>
    <w:rsid w:val="00FE3C08"/>
    <w:rsid w:val="00FE4669"/>
    <w:rsid w:val="00FE60A7"/>
    <w:rsid w:val="00FE6A63"/>
    <w:rsid w:val="00FF269D"/>
    <w:rsid w:val="00FF2CCB"/>
    <w:rsid w:val="00FF3E96"/>
    <w:rsid w:val="00FF79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141B3"/>
  <w15:chartTrackingRefBased/>
  <w15:docId w15:val="{383677D1-3B04-46DB-8913-23D35CCA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C22FE3"/>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C22FE3"/>
    <w:pPr>
      <w:keepNext/>
      <w:keepLines/>
      <w:spacing w:before="40" w:after="120"/>
      <w:outlineLvl w:val="1"/>
    </w:pPr>
    <w:rPr>
      <w:rFonts w:asciiTheme="majorHAnsi" w:eastAsiaTheme="majorEastAsia" w:hAnsiTheme="majorHAnsi" w:cstheme="majorBidi"/>
      <w:color w:val="2F5496" w:themeColor="accent1" w:themeShade="BF"/>
      <w:sz w:val="28"/>
      <w:szCs w:val="26"/>
    </w:rPr>
  </w:style>
  <w:style w:type="paragraph" w:styleId="Nagwek3">
    <w:name w:val="heading 3"/>
    <w:basedOn w:val="Normalny"/>
    <w:next w:val="Normalny"/>
    <w:link w:val="Nagwek3Znak"/>
    <w:uiPriority w:val="9"/>
    <w:unhideWhenUsed/>
    <w:qFormat/>
    <w:rsid w:val="006923A6"/>
    <w:pPr>
      <w:keepNext/>
      <w:keepLines/>
      <w:spacing w:before="40" w:after="0"/>
      <w:outlineLvl w:val="2"/>
    </w:pPr>
    <w:rPr>
      <w:rFonts w:asciiTheme="majorHAnsi" w:eastAsiaTheme="majorEastAsia" w:hAnsiTheme="majorHAnsi" w:cstheme="majorBidi"/>
      <w:color w:val="2F5496" w:themeColor="accent1" w:themeShade="B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D614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D6145"/>
  </w:style>
  <w:style w:type="paragraph" w:styleId="Stopka">
    <w:name w:val="footer"/>
    <w:basedOn w:val="Normalny"/>
    <w:link w:val="StopkaZnak"/>
    <w:uiPriority w:val="99"/>
    <w:unhideWhenUsed/>
    <w:rsid w:val="007D614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D6145"/>
  </w:style>
  <w:style w:type="character" w:customStyle="1" w:styleId="Nagwek1Znak">
    <w:name w:val="Nagłówek 1 Znak"/>
    <w:basedOn w:val="Domylnaczcionkaakapitu"/>
    <w:link w:val="Nagwek1"/>
    <w:uiPriority w:val="9"/>
    <w:rsid w:val="00C22FE3"/>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C22FE3"/>
    <w:rPr>
      <w:rFonts w:asciiTheme="majorHAnsi" w:eastAsiaTheme="majorEastAsia" w:hAnsiTheme="majorHAnsi" w:cstheme="majorBidi"/>
      <w:color w:val="2F5496" w:themeColor="accent1" w:themeShade="BF"/>
      <w:sz w:val="28"/>
      <w:szCs w:val="26"/>
    </w:rPr>
  </w:style>
  <w:style w:type="table" w:styleId="Tabela-Siatka">
    <w:name w:val="Table Grid"/>
    <w:basedOn w:val="Standardowy"/>
    <w:uiPriority w:val="39"/>
    <w:rsid w:val="000E4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0E41A0"/>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unhideWhenUsed/>
    <w:rsid w:val="00A133B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A133BB"/>
    <w:rPr>
      <w:sz w:val="20"/>
      <w:szCs w:val="20"/>
    </w:rPr>
  </w:style>
  <w:style w:type="character" w:styleId="Odwoanieprzypisudolnego">
    <w:name w:val="footnote reference"/>
    <w:basedOn w:val="Domylnaczcionkaakapitu"/>
    <w:uiPriority w:val="99"/>
    <w:unhideWhenUsed/>
    <w:rsid w:val="00A133BB"/>
    <w:rPr>
      <w:vertAlign w:val="superscript"/>
    </w:rPr>
  </w:style>
  <w:style w:type="character" w:customStyle="1" w:styleId="Nagwek3Znak">
    <w:name w:val="Nagłówek 3 Znak"/>
    <w:basedOn w:val="Domylnaczcionkaakapitu"/>
    <w:link w:val="Nagwek3"/>
    <w:uiPriority w:val="9"/>
    <w:rsid w:val="006923A6"/>
    <w:rPr>
      <w:rFonts w:asciiTheme="majorHAnsi" w:eastAsiaTheme="majorEastAsia" w:hAnsiTheme="majorHAnsi" w:cstheme="majorBidi"/>
      <w:color w:val="2F5496" w:themeColor="accent1" w:themeShade="BF"/>
      <w:szCs w:val="24"/>
    </w:rPr>
  </w:style>
  <w:style w:type="paragraph" w:styleId="Bezodstpw">
    <w:name w:val="No Spacing"/>
    <w:link w:val="BezodstpwZnak"/>
    <w:uiPriority w:val="1"/>
    <w:qFormat/>
    <w:rsid w:val="00515D35"/>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15D35"/>
    <w:rPr>
      <w:rFonts w:eastAsiaTheme="minorEastAsia"/>
      <w:lang w:eastAsia="pl-PL"/>
    </w:rPr>
  </w:style>
  <w:style w:type="paragraph" w:customStyle="1" w:styleId="Default">
    <w:name w:val="Default"/>
    <w:rsid w:val="002C2DC7"/>
    <w:pPr>
      <w:autoSpaceDE w:val="0"/>
      <w:autoSpaceDN w:val="0"/>
      <w:adjustRightInd w:val="0"/>
      <w:spacing w:after="0" w:line="240" w:lineRule="auto"/>
    </w:pPr>
    <w:rPr>
      <w:rFonts w:ascii="Calibri" w:hAnsi="Calibri" w:cs="Calibri"/>
      <w:color w:val="000000"/>
      <w:sz w:val="24"/>
      <w:szCs w:val="24"/>
    </w:rPr>
  </w:style>
  <w:style w:type="paragraph" w:styleId="Akapitzlist">
    <w:name w:val="List Paragraph"/>
    <w:basedOn w:val="Normalny"/>
    <w:uiPriority w:val="34"/>
    <w:qFormat/>
    <w:rsid w:val="00474F7D"/>
    <w:pPr>
      <w:ind w:left="720"/>
      <w:contextualSpacing/>
    </w:pPr>
  </w:style>
  <w:style w:type="paragraph" w:styleId="Poprawka">
    <w:name w:val="Revision"/>
    <w:hidden/>
    <w:uiPriority w:val="99"/>
    <w:semiHidden/>
    <w:rsid w:val="002042C9"/>
    <w:pPr>
      <w:spacing w:after="0" w:line="240" w:lineRule="auto"/>
    </w:pPr>
  </w:style>
  <w:style w:type="character" w:styleId="Odwoaniedokomentarza">
    <w:name w:val="annotation reference"/>
    <w:basedOn w:val="Domylnaczcionkaakapitu"/>
    <w:uiPriority w:val="99"/>
    <w:semiHidden/>
    <w:unhideWhenUsed/>
    <w:rsid w:val="003645FB"/>
    <w:rPr>
      <w:sz w:val="16"/>
      <w:szCs w:val="16"/>
    </w:rPr>
  </w:style>
  <w:style w:type="paragraph" w:styleId="Tekstkomentarza">
    <w:name w:val="annotation text"/>
    <w:basedOn w:val="Normalny"/>
    <w:link w:val="TekstkomentarzaZnak"/>
    <w:uiPriority w:val="99"/>
    <w:unhideWhenUsed/>
    <w:rsid w:val="003645FB"/>
    <w:pPr>
      <w:spacing w:line="240" w:lineRule="auto"/>
    </w:pPr>
    <w:rPr>
      <w:sz w:val="20"/>
      <w:szCs w:val="20"/>
    </w:rPr>
  </w:style>
  <w:style w:type="character" w:customStyle="1" w:styleId="TekstkomentarzaZnak">
    <w:name w:val="Tekst komentarza Znak"/>
    <w:basedOn w:val="Domylnaczcionkaakapitu"/>
    <w:link w:val="Tekstkomentarza"/>
    <w:uiPriority w:val="99"/>
    <w:rsid w:val="003645FB"/>
    <w:rPr>
      <w:sz w:val="20"/>
      <w:szCs w:val="20"/>
    </w:rPr>
  </w:style>
  <w:style w:type="paragraph" w:styleId="Tematkomentarza">
    <w:name w:val="annotation subject"/>
    <w:basedOn w:val="Tekstkomentarza"/>
    <w:next w:val="Tekstkomentarza"/>
    <w:link w:val="TematkomentarzaZnak"/>
    <w:uiPriority w:val="99"/>
    <w:semiHidden/>
    <w:unhideWhenUsed/>
    <w:rsid w:val="003645FB"/>
    <w:rPr>
      <w:b/>
      <w:bCs/>
    </w:rPr>
  </w:style>
  <w:style w:type="character" w:customStyle="1" w:styleId="TematkomentarzaZnak">
    <w:name w:val="Temat komentarza Znak"/>
    <w:basedOn w:val="TekstkomentarzaZnak"/>
    <w:link w:val="Tematkomentarza"/>
    <w:uiPriority w:val="99"/>
    <w:semiHidden/>
    <w:rsid w:val="003645FB"/>
    <w:rPr>
      <w:b/>
      <w:bCs/>
      <w:sz w:val="20"/>
      <w:szCs w:val="20"/>
    </w:rPr>
  </w:style>
  <w:style w:type="character" w:styleId="Hipercze">
    <w:name w:val="Hyperlink"/>
    <w:basedOn w:val="Domylnaczcionkaakapitu"/>
    <w:uiPriority w:val="99"/>
    <w:unhideWhenUsed/>
    <w:rsid w:val="0046020E"/>
    <w:rPr>
      <w:color w:val="0563C1" w:themeColor="hyperlink"/>
      <w:u w:val="single"/>
    </w:rPr>
  </w:style>
  <w:style w:type="character" w:styleId="Wyrnienieintensywne">
    <w:name w:val="Intense Emphasis"/>
    <w:uiPriority w:val="21"/>
    <w:qFormat/>
    <w:rsid w:val="0046020E"/>
    <w:rPr>
      <w:b/>
      <w:bCs/>
    </w:rPr>
  </w:style>
  <w:style w:type="paragraph" w:styleId="Tekstdymka">
    <w:name w:val="Balloon Text"/>
    <w:basedOn w:val="Normalny"/>
    <w:link w:val="TekstdymkaZnak"/>
    <w:uiPriority w:val="99"/>
    <w:semiHidden/>
    <w:unhideWhenUsed/>
    <w:rsid w:val="0046020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6020E"/>
    <w:rPr>
      <w:rFonts w:ascii="Segoe UI" w:hAnsi="Segoe UI" w:cs="Segoe UI"/>
      <w:sz w:val="18"/>
      <w:szCs w:val="18"/>
    </w:rPr>
  </w:style>
  <w:style w:type="paragraph" w:customStyle="1" w:styleId="t1">
    <w:name w:val="t1"/>
    <w:aliases w:val="platte tekst"/>
    <w:basedOn w:val="Normalny"/>
    <w:link w:val="t1Char"/>
    <w:rsid w:val="0046020E"/>
    <w:pPr>
      <w:spacing w:after="0" w:line="240" w:lineRule="auto"/>
      <w:jc w:val="both"/>
    </w:pPr>
    <w:rPr>
      <w:rFonts w:ascii="Garamond" w:eastAsia="Times New Roman" w:hAnsi="Garamond" w:cs="Times New Roman"/>
      <w:sz w:val="24"/>
      <w:szCs w:val="20"/>
      <w:lang w:val="en-GB"/>
    </w:rPr>
  </w:style>
  <w:style w:type="character" w:customStyle="1" w:styleId="t1Char">
    <w:name w:val="t1 Char"/>
    <w:aliases w:val="platte tekst Char"/>
    <w:link w:val="t1"/>
    <w:rsid w:val="0046020E"/>
    <w:rPr>
      <w:rFonts w:ascii="Garamond" w:eastAsia="Times New Roman" w:hAnsi="Garamond" w:cs="Times New Roman"/>
      <w:sz w:val="24"/>
      <w:szCs w:val="20"/>
      <w:lang w:val="en-GB"/>
    </w:rPr>
  </w:style>
  <w:style w:type="paragraph" w:customStyle="1" w:styleId="OSNpodstawowy">
    <w:name w:val="OSN_podstawowy"/>
    <w:basedOn w:val="Bezodstpw"/>
    <w:link w:val="OSNpodstawowyZnak"/>
    <w:qFormat/>
    <w:rsid w:val="0046020E"/>
    <w:pPr>
      <w:spacing w:before="120" w:after="120" w:line="276" w:lineRule="auto"/>
      <w:ind w:firstLine="709"/>
      <w:jc w:val="both"/>
    </w:pPr>
    <w:rPr>
      <w:rFonts w:ascii="Calibri" w:eastAsia="Times New Roman" w:hAnsi="Calibri" w:cs="Times New Roman"/>
      <w:sz w:val="24"/>
      <w:szCs w:val="24"/>
      <w:lang w:eastAsia="en-US"/>
    </w:rPr>
  </w:style>
  <w:style w:type="character" w:customStyle="1" w:styleId="OSNpodstawowyZnak">
    <w:name w:val="OSN_podstawowy Znak"/>
    <w:link w:val="OSNpodstawowy"/>
    <w:rsid w:val="0046020E"/>
    <w:rPr>
      <w:rFonts w:ascii="Calibri" w:eastAsia="Times New Roman" w:hAnsi="Calibri" w:cs="Times New Roman"/>
      <w:sz w:val="24"/>
      <w:szCs w:val="24"/>
    </w:rPr>
  </w:style>
  <w:style w:type="paragraph" w:customStyle="1" w:styleId="OSNlegenda">
    <w:name w:val="OSN_legenda"/>
    <w:basedOn w:val="Legenda"/>
    <w:link w:val="OSNlegendaZnak"/>
    <w:qFormat/>
    <w:rsid w:val="0046020E"/>
    <w:pPr>
      <w:keepNext/>
      <w:spacing w:before="240" w:after="0"/>
      <w:jc w:val="both"/>
    </w:pPr>
    <w:rPr>
      <w:rFonts w:ascii="Calibri" w:eastAsia="Calibri" w:hAnsi="Calibri" w:cs="Times New Roman"/>
      <w:bCs/>
      <w:i w:val="0"/>
      <w:iCs w:val="0"/>
      <w:color w:val="auto"/>
      <w:sz w:val="22"/>
      <w:szCs w:val="22"/>
    </w:rPr>
  </w:style>
  <w:style w:type="character" w:customStyle="1" w:styleId="OSNlegendaZnak">
    <w:name w:val="OSN_legenda Znak"/>
    <w:link w:val="OSNlegenda"/>
    <w:rsid w:val="0046020E"/>
    <w:rPr>
      <w:rFonts w:ascii="Calibri" w:eastAsia="Calibri" w:hAnsi="Calibri" w:cs="Times New Roman"/>
      <w:bCs/>
    </w:rPr>
  </w:style>
  <w:style w:type="character" w:customStyle="1" w:styleId="markedcontent">
    <w:name w:val="markedcontent"/>
    <w:basedOn w:val="Domylnaczcionkaakapitu"/>
    <w:rsid w:val="0046020E"/>
  </w:style>
  <w:style w:type="paragraph" w:styleId="Tekstprzypisukocowego">
    <w:name w:val="endnote text"/>
    <w:basedOn w:val="Normalny"/>
    <w:link w:val="TekstprzypisukocowegoZnak"/>
    <w:uiPriority w:val="99"/>
    <w:semiHidden/>
    <w:unhideWhenUsed/>
    <w:rsid w:val="0046020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6020E"/>
    <w:rPr>
      <w:sz w:val="20"/>
      <w:szCs w:val="20"/>
    </w:rPr>
  </w:style>
  <w:style w:type="character" w:styleId="Odwoanieprzypisukocowego">
    <w:name w:val="endnote reference"/>
    <w:basedOn w:val="Domylnaczcionkaakapitu"/>
    <w:uiPriority w:val="99"/>
    <w:semiHidden/>
    <w:unhideWhenUsed/>
    <w:rsid w:val="004602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23291">
      <w:bodyDiv w:val="1"/>
      <w:marLeft w:val="0"/>
      <w:marRight w:val="0"/>
      <w:marTop w:val="0"/>
      <w:marBottom w:val="0"/>
      <w:divBdr>
        <w:top w:val="none" w:sz="0" w:space="0" w:color="auto"/>
        <w:left w:val="none" w:sz="0" w:space="0" w:color="auto"/>
        <w:bottom w:val="none" w:sz="0" w:space="0" w:color="auto"/>
        <w:right w:val="none" w:sz="0" w:space="0" w:color="auto"/>
      </w:divBdr>
    </w:div>
    <w:div w:id="133983381">
      <w:bodyDiv w:val="1"/>
      <w:marLeft w:val="0"/>
      <w:marRight w:val="0"/>
      <w:marTop w:val="0"/>
      <w:marBottom w:val="0"/>
      <w:divBdr>
        <w:top w:val="none" w:sz="0" w:space="0" w:color="auto"/>
        <w:left w:val="none" w:sz="0" w:space="0" w:color="auto"/>
        <w:bottom w:val="none" w:sz="0" w:space="0" w:color="auto"/>
        <w:right w:val="none" w:sz="0" w:space="0" w:color="auto"/>
      </w:divBdr>
    </w:div>
    <w:div w:id="410737527">
      <w:bodyDiv w:val="1"/>
      <w:marLeft w:val="0"/>
      <w:marRight w:val="0"/>
      <w:marTop w:val="0"/>
      <w:marBottom w:val="0"/>
      <w:divBdr>
        <w:top w:val="none" w:sz="0" w:space="0" w:color="auto"/>
        <w:left w:val="none" w:sz="0" w:space="0" w:color="auto"/>
        <w:bottom w:val="none" w:sz="0" w:space="0" w:color="auto"/>
        <w:right w:val="none" w:sz="0" w:space="0" w:color="auto"/>
      </w:divBdr>
    </w:div>
    <w:div w:id="450129452">
      <w:bodyDiv w:val="1"/>
      <w:marLeft w:val="0"/>
      <w:marRight w:val="0"/>
      <w:marTop w:val="0"/>
      <w:marBottom w:val="0"/>
      <w:divBdr>
        <w:top w:val="none" w:sz="0" w:space="0" w:color="auto"/>
        <w:left w:val="none" w:sz="0" w:space="0" w:color="auto"/>
        <w:bottom w:val="none" w:sz="0" w:space="0" w:color="auto"/>
        <w:right w:val="none" w:sz="0" w:space="0" w:color="auto"/>
      </w:divBdr>
    </w:div>
    <w:div w:id="612636559">
      <w:bodyDiv w:val="1"/>
      <w:marLeft w:val="0"/>
      <w:marRight w:val="0"/>
      <w:marTop w:val="0"/>
      <w:marBottom w:val="0"/>
      <w:divBdr>
        <w:top w:val="none" w:sz="0" w:space="0" w:color="auto"/>
        <w:left w:val="none" w:sz="0" w:space="0" w:color="auto"/>
        <w:bottom w:val="none" w:sz="0" w:space="0" w:color="auto"/>
        <w:right w:val="none" w:sz="0" w:space="0" w:color="auto"/>
      </w:divBdr>
      <w:divsChild>
        <w:div w:id="536429377">
          <w:marLeft w:val="0"/>
          <w:marRight w:val="0"/>
          <w:marTop w:val="0"/>
          <w:marBottom w:val="0"/>
          <w:divBdr>
            <w:top w:val="none" w:sz="0" w:space="0" w:color="auto"/>
            <w:left w:val="none" w:sz="0" w:space="0" w:color="auto"/>
            <w:bottom w:val="none" w:sz="0" w:space="0" w:color="auto"/>
            <w:right w:val="none" w:sz="0" w:space="0" w:color="auto"/>
          </w:divBdr>
        </w:div>
        <w:div w:id="1096556640">
          <w:marLeft w:val="0"/>
          <w:marRight w:val="0"/>
          <w:marTop w:val="0"/>
          <w:marBottom w:val="0"/>
          <w:divBdr>
            <w:top w:val="none" w:sz="0" w:space="0" w:color="auto"/>
            <w:left w:val="none" w:sz="0" w:space="0" w:color="auto"/>
            <w:bottom w:val="none" w:sz="0" w:space="0" w:color="auto"/>
            <w:right w:val="none" w:sz="0" w:space="0" w:color="auto"/>
          </w:divBdr>
        </w:div>
        <w:div w:id="398291121">
          <w:marLeft w:val="0"/>
          <w:marRight w:val="0"/>
          <w:marTop w:val="0"/>
          <w:marBottom w:val="0"/>
          <w:divBdr>
            <w:top w:val="none" w:sz="0" w:space="0" w:color="auto"/>
            <w:left w:val="none" w:sz="0" w:space="0" w:color="auto"/>
            <w:bottom w:val="none" w:sz="0" w:space="0" w:color="auto"/>
            <w:right w:val="none" w:sz="0" w:space="0" w:color="auto"/>
          </w:divBdr>
        </w:div>
        <w:div w:id="1310523666">
          <w:marLeft w:val="0"/>
          <w:marRight w:val="0"/>
          <w:marTop w:val="0"/>
          <w:marBottom w:val="0"/>
          <w:divBdr>
            <w:top w:val="none" w:sz="0" w:space="0" w:color="auto"/>
            <w:left w:val="none" w:sz="0" w:space="0" w:color="auto"/>
            <w:bottom w:val="none" w:sz="0" w:space="0" w:color="auto"/>
            <w:right w:val="none" w:sz="0" w:space="0" w:color="auto"/>
          </w:divBdr>
        </w:div>
      </w:divsChild>
    </w:div>
    <w:div w:id="1845322053">
      <w:bodyDiv w:val="1"/>
      <w:marLeft w:val="0"/>
      <w:marRight w:val="0"/>
      <w:marTop w:val="0"/>
      <w:marBottom w:val="0"/>
      <w:divBdr>
        <w:top w:val="none" w:sz="0" w:space="0" w:color="auto"/>
        <w:left w:val="none" w:sz="0" w:space="0" w:color="auto"/>
        <w:bottom w:val="none" w:sz="0" w:space="0" w:color="auto"/>
        <w:right w:val="none" w:sz="0" w:space="0" w:color="auto"/>
      </w:divBdr>
    </w:div>
    <w:div w:id="1908607888">
      <w:bodyDiv w:val="1"/>
      <w:marLeft w:val="0"/>
      <w:marRight w:val="0"/>
      <w:marTop w:val="0"/>
      <w:marBottom w:val="0"/>
      <w:divBdr>
        <w:top w:val="none" w:sz="0" w:space="0" w:color="auto"/>
        <w:left w:val="none" w:sz="0" w:space="0" w:color="auto"/>
        <w:bottom w:val="none" w:sz="0" w:space="0" w:color="auto"/>
        <w:right w:val="none" w:sz="0" w:space="0" w:color="auto"/>
      </w:divBdr>
    </w:div>
    <w:div w:id="197814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footer" Target="footer7.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footer5.xml.rels><?xml version="1.0" encoding="UTF-8" standalone="yes"?>
<Relationships xmlns="http://schemas.openxmlformats.org/package/2006/relationships"><Relationship Id="rId1"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www.gios.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832D8-2852-4968-8B39-0C738FE4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5265</Words>
  <Characters>31595</Characters>
  <Application>Microsoft Office Word</Application>
  <DocSecurity>0</DocSecurity>
  <Lines>263</Lines>
  <Paragraphs>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Gajda</dc:creator>
  <cp:keywords/>
  <dc:description/>
  <cp:lastModifiedBy>Katarzyna Banaszak</cp:lastModifiedBy>
  <cp:revision>40</cp:revision>
  <dcterms:created xsi:type="dcterms:W3CDTF">2022-03-21T13:37:00Z</dcterms:created>
  <dcterms:modified xsi:type="dcterms:W3CDTF">2022-03-21T16:56:00Z</dcterms:modified>
</cp:coreProperties>
</file>