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65740" w:rsidRPr="008B4FE6" w14:paraId="2B32CCED" w14:textId="77777777" w:rsidTr="002D090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CEAB964" w14:textId="77777777" w:rsidR="00B65740" w:rsidRPr="008B4FE6" w:rsidRDefault="00B65740" w:rsidP="002D0905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3D702A0" w14:textId="77777777" w:rsidR="00B65740" w:rsidRPr="008B4FE6" w:rsidRDefault="00B65740" w:rsidP="002D090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ustawy o zmianie ustawy o nawozach i nawożeniu oraz ustawy o podatku od towarów i usług</w:t>
            </w:r>
          </w:p>
          <w:p w14:paraId="4A8C9109" w14:textId="77777777" w:rsidR="00B65740" w:rsidRPr="008B4FE6" w:rsidRDefault="00B65740" w:rsidP="002D090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DA4E91A" w14:textId="77777777" w:rsidR="00B65740" w:rsidRPr="008B4FE6" w:rsidRDefault="00B65740" w:rsidP="002D090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A8F5454" w14:textId="77777777" w:rsidR="00B65740" w:rsidRDefault="00B65740" w:rsidP="002D090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Rolnictwa i Rozwoju Wsi</w:t>
            </w:r>
          </w:p>
          <w:bookmarkEnd w:id="0"/>
          <w:p w14:paraId="37A2D1BD" w14:textId="77777777" w:rsidR="00B65740" w:rsidRDefault="00B65740" w:rsidP="002D090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C55147A" w14:textId="77777777" w:rsidR="00B65740" w:rsidRPr="00642825" w:rsidRDefault="00B65740" w:rsidP="002D090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6FF7DD6" w14:textId="77777777" w:rsidR="00B65740" w:rsidRPr="004C0641" w:rsidRDefault="00B65740" w:rsidP="002D09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Lech  Kołakowski</w:t>
            </w:r>
            <w:r w:rsidRPr="004C0641">
              <w:rPr>
                <w:rFonts w:ascii="Times New Roman" w:hAnsi="Times New Roman"/>
              </w:rPr>
              <w:t>,</w:t>
            </w:r>
          </w:p>
          <w:p w14:paraId="728B5BC6" w14:textId="77777777" w:rsidR="00B65740" w:rsidRPr="0063060B" w:rsidRDefault="00B65740" w:rsidP="002D0905">
            <w:pPr>
              <w:rPr>
                <w:rFonts w:ascii="Times New Roman" w:hAnsi="Times New Roman"/>
                <w:sz w:val="21"/>
                <w:szCs w:val="21"/>
              </w:rPr>
            </w:pPr>
            <w:r w:rsidRPr="004C0641">
              <w:rPr>
                <w:rFonts w:ascii="Times New Roman" w:hAnsi="Times New Roman"/>
              </w:rPr>
              <w:t>Sekretarz Stanu w Ministe</w:t>
            </w:r>
            <w:r>
              <w:rPr>
                <w:rFonts w:ascii="Times New Roman" w:hAnsi="Times New Roman"/>
              </w:rPr>
              <w:t xml:space="preserve">rstwie Rolnictwa i Rozwoju Wsi </w:t>
            </w:r>
          </w:p>
          <w:p w14:paraId="674C9D62" w14:textId="77777777" w:rsidR="00B65740" w:rsidRPr="008B4FE6" w:rsidRDefault="00B65740" w:rsidP="002D090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13EAC85" w14:textId="77777777" w:rsidR="00B65740" w:rsidRPr="004C0641" w:rsidRDefault="00B65740" w:rsidP="002D0905">
            <w:pPr>
              <w:rPr>
                <w:rFonts w:ascii="Times New Roman" w:hAnsi="Times New Roman"/>
              </w:rPr>
            </w:pPr>
            <w:bookmarkStart w:id="1" w:name="t3"/>
            <w:r w:rsidRPr="004C0641">
              <w:rPr>
                <w:rFonts w:ascii="Times New Roman" w:hAnsi="Times New Roman"/>
              </w:rPr>
              <w:t xml:space="preserve">Krzysztof </w:t>
            </w:r>
            <w:proofErr w:type="spellStart"/>
            <w:r w:rsidRPr="004C0641">
              <w:rPr>
                <w:rFonts w:ascii="Times New Roman" w:hAnsi="Times New Roman"/>
              </w:rPr>
              <w:t>Smaczyński</w:t>
            </w:r>
            <w:proofErr w:type="spellEnd"/>
            <w:r w:rsidRPr="004C0641">
              <w:rPr>
                <w:rFonts w:ascii="Times New Roman" w:hAnsi="Times New Roman"/>
              </w:rPr>
              <w:t>,</w:t>
            </w:r>
          </w:p>
          <w:p w14:paraId="5C6D1DB7" w14:textId="77777777" w:rsidR="00B65740" w:rsidRPr="004C0641" w:rsidRDefault="00B65740" w:rsidP="002D0905">
            <w:pPr>
              <w:rPr>
                <w:rFonts w:ascii="Times New Roman" w:hAnsi="Times New Roman"/>
              </w:rPr>
            </w:pPr>
            <w:r w:rsidRPr="004C0641">
              <w:rPr>
                <w:rFonts w:ascii="Times New Roman" w:hAnsi="Times New Roman"/>
              </w:rPr>
              <w:t xml:space="preserve">Zastępca Dyrektora Departamentu Klimatu i Środowiska, </w:t>
            </w:r>
          </w:p>
          <w:p w14:paraId="6119E68C" w14:textId="77777777" w:rsidR="00B65740" w:rsidRPr="004C0641" w:rsidRDefault="00B65740" w:rsidP="002D0905">
            <w:pPr>
              <w:rPr>
                <w:rFonts w:ascii="Times New Roman" w:hAnsi="Times New Roman"/>
                <w:lang w:val="en-US"/>
              </w:rPr>
            </w:pPr>
            <w:r w:rsidRPr="004C0641">
              <w:rPr>
                <w:rFonts w:ascii="Times New Roman" w:hAnsi="Times New Roman"/>
                <w:lang w:val="en-US"/>
              </w:rPr>
              <w:t>e</w:t>
            </w:r>
            <w:r w:rsidRPr="004C0641">
              <w:rPr>
                <w:rFonts w:ascii="Times New Roman" w:hAnsi="Times New Roman"/>
                <w:lang w:val="en-US"/>
              </w:rPr>
              <w:softHyphen/>
            </w:r>
            <w:r w:rsidRPr="004C0641">
              <w:rPr>
                <w:rFonts w:ascii="Times New Roman" w:hAnsi="Times New Roman"/>
                <w:lang w:val="en-US"/>
              </w:rPr>
              <w:noBreakHyphen/>
              <w:t xml:space="preserve">mail: </w:t>
            </w:r>
            <w:hyperlink r:id="rId5" w:history="1">
              <w:r w:rsidRPr="004C0641">
                <w:rPr>
                  <w:rStyle w:val="Hipercze"/>
                  <w:rFonts w:ascii="Times New Roman" w:hAnsi="Times New Roman"/>
                </w:rPr>
                <w:t>krzysztof.smaczynski@minrol.gov.pl</w:t>
              </w:r>
            </w:hyperlink>
            <w:r w:rsidRPr="004C0641">
              <w:rPr>
                <w:rFonts w:ascii="Times New Roman" w:hAnsi="Times New Roman"/>
              </w:rPr>
              <w:t xml:space="preserve">, </w:t>
            </w:r>
          </w:p>
          <w:p w14:paraId="39AE71D6" w14:textId="77777777" w:rsidR="00B65740" w:rsidRPr="008B4FE6" w:rsidRDefault="00B65740" w:rsidP="002D090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C0641">
              <w:rPr>
                <w:rFonts w:ascii="Times New Roman" w:hAnsi="Times New Roman"/>
              </w:rPr>
              <w:t>tel. (22) 623</w:t>
            </w:r>
            <w:r w:rsidRPr="004C0641">
              <w:rPr>
                <w:rFonts w:ascii="Times New Roman" w:hAnsi="Times New Roman"/>
              </w:rPr>
              <w:noBreakHyphen/>
              <w:t>21-51.</w:t>
            </w:r>
            <w:r w:rsidRPr="008B4FE6" w:rsidDel="00D55037">
              <w:rPr>
                <w:rFonts w:ascii="Times New Roman" w:hAnsi="Times New Roman"/>
                <w:color w:val="000000"/>
              </w:rPr>
              <w:t xml:space="preserve"> 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7451E493" w14:textId="77777777" w:rsidR="00B65740" w:rsidRPr="00642825" w:rsidRDefault="00B65740" w:rsidP="002D090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>17.01.2022 r.</w:t>
            </w:r>
          </w:p>
          <w:p w14:paraId="04BAC056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714A22" w14:textId="77777777" w:rsidR="00B65740" w:rsidRPr="0065019F" w:rsidRDefault="00B65740" w:rsidP="002D0905">
            <w:pPr>
              <w:spacing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r>
              <w:rPr>
                <w:rFonts w:ascii="Times New Roman" w:hAnsi="Times New Roman"/>
              </w:rPr>
              <w:t>Prawo UE</w:t>
            </w:r>
          </w:p>
          <w:p w14:paraId="1435B83F" w14:textId="77777777" w:rsidR="00B65740" w:rsidRPr="008B4FE6" w:rsidRDefault="00B65740" w:rsidP="002D090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2F7F3D">
              <w:rPr>
                <w:rFonts w:ascii="Times New Roman" w:hAnsi="Times New Roman"/>
                <w:b/>
                <w:color w:val="000000"/>
              </w:rPr>
              <w:t>legislacyjnych i programowych Rady Ministrów: UC 121</w:t>
            </w:r>
          </w:p>
          <w:p w14:paraId="6BE9FDB5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AB70B22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5740" w:rsidRPr="0022687A" w14:paraId="4853E644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EC7511" w14:textId="77777777" w:rsidR="00B65740" w:rsidRPr="00627221" w:rsidRDefault="00B65740" w:rsidP="002D090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65740" w:rsidRPr="008B4FE6" w14:paraId="327EC01C" w14:textId="77777777" w:rsidTr="002D090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B5976B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B65740" w:rsidRPr="008B4FE6" w14:paraId="647F9B80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9CBCA7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FE1B45" w14:textId="77777777" w:rsidR="00B65740" w:rsidRPr="00DC0A15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>Projektowana zmiana ustawy o nawozach i nawożeniu oraz ustawy o podatku od towarów i usług ma na celu wprowadzenie do polskiego porządku prawnego postanowienia 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(Dz. Urz.</w:t>
            </w:r>
            <w:r>
              <w:rPr>
                <w:rFonts w:ascii="Times New Roman" w:hAnsi="Times New Roman"/>
              </w:rPr>
              <w:t xml:space="preserve"> UE L 170 z 25.06.2019, str. 1),</w:t>
            </w:r>
            <w:r w:rsidRPr="00DC0A15">
              <w:rPr>
                <w:rFonts w:ascii="Times New Roman" w:hAnsi="Times New Roman"/>
              </w:rPr>
              <w:t xml:space="preserve"> określając właściwości organów w odniesieniu do obowiązków wynikających z przepisów tego aktu prawnego.</w:t>
            </w:r>
          </w:p>
          <w:p w14:paraId="256926A5" w14:textId="77777777" w:rsidR="00B65740" w:rsidRPr="00DC0A15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Nowa regulacja jaką jest ww. rozporządzenie zastąpiła dotychczas obowiązujące rozporządzenie nr 2003/2003 Parlamentu Europejskiego i Rady z dnia 13 października 2003 r. w sprawie nawozów (Dz. Urz. WE L 304 z 21.11.2003, str. 1, z </w:t>
            </w:r>
            <w:proofErr w:type="spellStart"/>
            <w:r w:rsidRPr="00DC0A15">
              <w:rPr>
                <w:rFonts w:ascii="Times New Roman" w:hAnsi="Times New Roman"/>
              </w:rPr>
              <w:t>późn</w:t>
            </w:r>
            <w:proofErr w:type="spellEnd"/>
            <w:r w:rsidRPr="00DC0A15">
              <w:rPr>
                <w:rFonts w:ascii="Times New Roman" w:hAnsi="Times New Roman"/>
              </w:rPr>
              <w:t xml:space="preserve">. zm.; Dz. Urz. UE Polskie wydanie specjalne, rozdz. 13, t. 32, str. 467, z </w:t>
            </w:r>
            <w:proofErr w:type="spellStart"/>
            <w:r w:rsidRPr="00DC0A15">
              <w:rPr>
                <w:rFonts w:ascii="Times New Roman" w:hAnsi="Times New Roman"/>
              </w:rPr>
              <w:t>późn</w:t>
            </w:r>
            <w:proofErr w:type="spellEnd"/>
            <w:r w:rsidRPr="00DC0A15">
              <w:rPr>
                <w:rFonts w:ascii="Times New Roman" w:hAnsi="Times New Roman"/>
              </w:rPr>
              <w:t>. zm.), rozszerzając jednocześnie katalog produktów nawozowych objętych</w:t>
            </w:r>
            <w:r>
              <w:rPr>
                <w:rFonts w:ascii="Times New Roman" w:hAnsi="Times New Roman"/>
              </w:rPr>
              <w:t xml:space="preserve"> ustawodawstwem </w:t>
            </w:r>
            <w:proofErr w:type="spellStart"/>
            <w:r>
              <w:rPr>
                <w:rFonts w:ascii="Times New Roman" w:hAnsi="Times New Roman"/>
              </w:rPr>
              <w:t>harmonizacyjnym</w:t>
            </w:r>
            <w:proofErr w:type="spellEnd"/>
            <w:r>
              <w:rPr>
                <w:rFonts w:ascii="Times New Roman" w:hAnsi="Times New Roman"/>
              </w:rPr>
              <w:t xml:space="preserve">, a także nakładając na państwa członkowskie obowiązek organizacji i wyznaczenia w tym zakresie organów nadzoru rynku oraz organów właściwych w sprawach bezpieczeństwa, ochrony zdrowia ludzi i zwierząt, ochrony roślin i środowiska.   </w:t>
            </w:r>
          </w:p>
          <w:p w14:paraId="4DFC5617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65740" w:rsidRPr="008B4FE6" w14:paraId="7DD684DF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7D73F7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B65740" w:rsidRPr="008B4FE6" w14:paraId="745C306F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9B45D6B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7095D6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>Rekomendowanym działaniem jest:</w:t>
            </w:r>
          </w:p>
          <w:p w14:paraId="0530DC8E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>1) nowelizacja obowiązującej ustawy z dnia 10 lipca 2007 r. o nawozach i nawożeniu (Dz. U. z 2021 r. poz. 76) polegająca na wprowadzeniu do jej treści przepisów:</w:t>
            </w:r>
          </w:p>
          <w:p w14:paraId="3E89F4B3" w14:textId="77777777" w:rsidR="00B65740" w:rsidRPr="00E00843" w:rsidRDefault="00B65740" w:rsidP="00B6574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 xml:space="preserve">dostosowujących zakres i istniejąca terminologię tej ustawy do wymagań rozporządzenia nr 2019/1009,    </w:t>
            </w:r>
          </w:p>
          <w:p w14:paraId="4D7D4AF2" w14:textId="77777777" w:rsidR="00B65740" w:rsidRPr="00E00843" w:rsidRDefault="00B65740" w:rsidP="00B6574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 xml:space="preserve">wyznaczających organy nadzoru rynku oraz zakres ich kompetencji, </w:t>
            </w:r>
          </w:p>
          <w:p w14:paraId="5AB11089" w14:textId="77777777" w:rsidR="00B65740" w:rsidRPr="00E00843" w:rsidRDefault="00B65740" w:rsidP="00B6574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>dotyczących kar za naruszanie norm rozporządzenia 2019/1009 obowiązujących wprost z tego aktu prawnego.</w:t>
            </w:r>
          </w:p>
          <w:p w14:paraId="55D443D1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843">
              <w:rPr>
                <w:rFonts w:ascii="Times New Roman" w:hAnsi="Times New Roman"/>
                <w:color w:val="000000"/>
                <w:spacing w:val="-2"/>
              </w:rPr>
              <w:t>2) nowelizacja ustawy</w:t>
            </w:r>
            <w:r w:rsidRPr="00E00843">
              <w:rPr>
                <w:rFonts w:ascii="Times New Roman" w:hAnsi="Times New Roman"/>
              </w:rPr>
              <w:t xml:space="preserve"> z dnia 11 marca 2004 r. o podatku od towarów i usług (Dz. U. z 2021 r. poz. 685, z </w:t>
            </w:r>
            <w:proofErr w:type="spellStart"/>
            <w:r w:rsidRPr="00E00843">
              <w:rPr>
                <w:rFonts w:ascii="Times New Roman" w:hAnsi="Times New Roman"/>
              </w:rPr>
              <w:t>późn</w:t>
            </w:r>
            <w:proofErr w:type="spellEnd"/>
            <w:r w:rsidRPr="00E00843">
              <w:rPr>
                <w:rFonts w:ascii="Times New Roman" w:hAnsi="Times New Roman"/>
              </w:rPr>
              <w:t>. zm.)</w:t>
            </w:r>
            <w:r w:rsidRPr="00E00843">
              <w:rPr>
                <w:rFonts w:ascii="Times New Roman" w:hAnsi="Times New Roman"/>
                <w:color w:val="000000"/>
                <w:spacing w:val="-2"/>
              </w:rPr>
              <w:t xml:space="preserve">  polegająca na dostosowaniu treści załącznika nr 3 do terminologii zaproponowanej w zmianie ustawy o nawozach i nawożeniu.</w:t>
            </w:r>
          </w:p>
          <w:p w14:paraId="4B3A7FEB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00843">
              <w:rPr>
                <w:rFonts w:ascii="Times New Roman" w:hAnsi="Times New Roman"/>
              </w:rPr>
              <w:t xml:space="preserve">Projekt ustawy nie wprowadza zmian w zakresie wprowadzania do obrotu produktów regulowanych prawem krajowym, lecz dostosowuje i określa na nowo właściwości organów w odniesieniu do nadzoru nad produktami nawozowymi objętymi ustawodawstwem </w:t>
            </w:r>
            <w:proofErr w:type="spellStart"/>
            <w:r w:rsidRPr="00E00843">
              <w:rPr>
                <w:rFonts w:ascii="Times New Roman" w:hAnsi="Times New Roman"/>
              </w:rPr>
              <w:t>harmonizacyjnym</w:t>
            </w:r>
            <w:proofErr w:type="spellEnd"/>
            <w:r w:rsidRPr="00E00843">
              <w:rPr>
                <w:rFonts w:ascii="Times New Roman" w:hAnsi="Times New Roman"/>
              </w:rPr>
              <w:t>. W projekcie dostosowano kompetencje organów do obowiązków wynikających z przepisów rozporządzenia nr 2019/1009, a także określono sprawy z obszaru udostępniania na rynku produktów nawozowych UE, nieuregulowane w tym akcie prawnym, takie jak przeprowadzanie kontroli jakości i zgodności oznakowania tych produktów oraz ich właściwego stosowania oraz przechowywania.</w:t>
            </w:r>
          </w:p>
          <w:p w14:paraId="1E4A2FCB" w14:textId="77777777" w:rsidR="00B65740" w:rsidRPr="000174E1" w:rsidRDefault="00B65740" w:rsidP="002D09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00843">
              <w:rPr>
                <w:rFonts w:ascii="Times New Roman" w:hAnsi="Times New Roman"/>
              </w:rPr>
              <w:t xml:space="preserve">W rozporządzeniu nr 2019/1009 rozszerzono w stosunku do uchylonego rozporządzenia nr 2003/2003 katalog produktów nawozowych objętych ustawodawstwem </w:t>
            </w:r>
            <w:proofErr w:type="spellStart"/>
            <w:r w:rsidRPr="00E00843">
              <w:rPr>
                <w:rFonts w:ascii="Times New Roman" w:hAnsi="Times New Roman"/>
              </w:rPr>
              <w:t>harmonizacyjnym</w:t>
            </w:r>
            <w:proofErr w:type="spellEnd"/>
            <w:r w:rsidRPr="00E00843">
              <w:rPr>
                <w:rFonts w:ascii="Times New Roman" w:hAnsi="Times New Roman"/>
              </w:rPr>
              <w:t>. Katalog ten dotyczy teraz nie tylko nawozów mineralnych (nawo</w:t>
            </w:r>
            <w:r>
              <w:rPr>
                <w:rFonts w:ascii="Times New Roman" w:hAnsi="Times New Roman"/>
              </w:rPr>
              <w:t>zy oznaczone znakiem „NAWÓZ WE”</w:t>
            </w:r>
            <w:r w:rsidR="002F7F3D">
              <w:rPr>
                <w:rFonts w:ascii="Times New Roman" w:hAnsi="Times New Roman"/>
              </w:rPr>
              <w:t>)</w:t>
            </w:r>
            <w:r w:rsidRPr="00E00843">
              <w:rPr>
                <w:rFonts w:ascii="Times New Roman" w:hAnsi="Times New Roman"/>
              </w:rPr>
              <w:t>, ale także wszystkich innych produktów nawozowych takich jak podłoży do upraw, biostymulatorów, polepszaczy gleby, inhibitorów, w tym organicznych i mikrobiologicznych, charakteryzujących się działaniem stymulującym wzrost roślin, jak również poprawę jakości gleby.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Pr="000174E1">
              <w:rPr>
                <w:rFonts w:ascii="Times New Roman" w:hAnsi="Times New Roman"/>
                <w:lang w:eastAsia="pl-PL"/>
              </w:rPr>
              <w:t>Akt ten wprowadza</w:t>
            </w:r>
          </w:p>
          <w:p w14:paraId="1F1834EC" w14:textId="77777777" w:rsidR="00B65740" w:rsidRPr="000174E1" w:rsidRDefault="00B65740" w:rsidP="002D09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174E1">
              <w:rPr>
                <w:rFonts w:ascii="Times New Roman" w:hAnsi="Times New Roman"/>
                <w:lang w:eastAsia="pl-PL"/>
              </w:rPr>
              <w:t xml:space="preserve">odrębne od przepisów krajowych wymagania dla tych produktów i uzależnia ich wprowadzenie do obrotu od spełnienia tych wymogów </w:t>
            </w:r>
            <w:r>
              <w:rPr>
                <w:rFonts w:ascii="Times New Roman" w:hAnsi="Times New Roman"/>
                <w:lang w:eastAsia="pl-PL"/>
              </w:rPr>
              <w:t>potwierdzonego przez</w:t>
            </w:r>
            <w:r w:rsidRPr="000174E1">
              <w:rPr>
                <w:rFonts w:ascii="Times New Roman" w:hAnsi="Times New Roman"/>
                <w:lang w:eastAsia="pl-PL"/>
              </w:rPr>
              <w:t xml:space="preserve"> jednostki oceniające zgodność. Odpowiednie udokumentowanie spełnienia wymogów ww. rozporządzenia uprawnia do oznakowania takich produktów znakiem CE.</w:t>
            </w:r>
          </w:p>
          <w:p w14:paraId="7EB301B8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00843">
              <w:rPr>
                <w:rFonts w:ascii="Times New Roman" w:hAnsi="Times New Roman"/>
              </w:rPr>
              <w:lastRenderedPageBreak/>
              <w:t xml:space="preserve">Rozporządzenie nr 2019/1009, poza utrzymaniem systemu oceny zgodności produktów nawozowych przeprowadzanym przez krajowe jednostki akredytujące, którego działanie skutecznie sprawdziło się w przypadku nawozów oznaczonych znakiem „NAWÓZ WE”, wprowadzanych do obrotu na podstawie uchylonego rozporządzenia nr 2003/2003, określa dodatkowo wymóg objęcia ich zasadami przewidzianymi dla produktów podlegających europejskiemu ustawodawstwu </w:t>
            </w:r>
            <w:proofErr w:type="spellStart"/>
            <w:r w:rsidRPr="00E00843">
              <w:rPr>
                <w:rFonts w:ascii="Times New Roman" w:hAnsi="Times New Roman"/>
              </w:rPr>
              <w:t>harmonizacyjnemu</w:t>
            </w:r>
            <w:proofErr w:type="spellEnd"/>
            <w:r w:rsidRPr="00E00843">
              <w:rPr>
                <w:rFonts w:ascii="Times New Roman" w:hAnsi="Times New Roman"/>
              </w:rPr>
              <w:t xml:space="preserve">. </w:t>
            </w:r>
          </w:p>
          <w:p w14:paraId="3455F4B1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00843">
              <w:rPr>
                <w:rFonts w:ascii="Times New Roman" w:hAnsi="Times New Roman"/>
              </w:rPr>
              <w:t>Produkty wobec których stosuje się te zasady są przedmiotem oceny zgodności z właściwymi przepisami UE,</w:t>
            </w:r>
            <w:r>
              <w:rPr>
                <w:rFonts w:ascii="Times New Roman" w:hAnsi="Times New Roman"/>
              </w:rPr>
              <w:t xml:space="preserve"> są oznaczane znakiem CE,</w:t>
            </w:r>
            <w:r w:rsidRPr="00E00843">
              <w:rPr>
                <w:rFonts w:ascii="Times New Roman" w:hAnsi="Times New Roman"/>
              </w:rPr>
              <w:t xml:space="preserve"> a także podlegają nadzorowi określonemu w przepisach rozporządzenia Parlamentu Europejskiego i Rady (UE) 2019/1020 z dnia 20 czerwca 2019 r. w sprawie nadzoru rynku i zgodności produktów oraz zmieniającego dyrektywę 2004/42/WE oraz rozporządzenia (WE) nr 765/2008 i (UE) nr 305/2011 (D</w:t>
            </w:r>
            <w:r w:rsidR="002F7F3D">
              <w:rPr>
                <w:rFonts w:ascii="Times New Roman" w:hAnsi="Times New Roman"/>
              </w:rPr>
              <w:t>z. Urz. UE L 169 z 25.06.2019,</w:t>
            </w:r>
            <w:r w:rsidRPr="00E00843">
              <w:rPr>
                <w:rFonts w:ascii="Times New Roman" w:hAnsi="Times New Roman"/>
              </w:rPr>
              <w:t xml:space="preserve"> str. 1). </w:t>
            </w:r>
          </w:p>
          <w:p w14:paraId="60990616" w14:textId="77777777" w:rsidR="00B65740" w:rsidRPr="00E00843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98B6763" w14:textId="77777777" w:rsidR="00B65740" w:rsidRPr="000174E1" w:rsidRDefault="00B65740" w:rsidP="002D09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174E1">
              <w:rPr>
                <w:rFonts w:ascii="Times New Roman" w:hAnsi="Times New Roman"/>
              </w:rPr>
              <w:t>Rozporządzenie nr 2019/1009, w przepisach przejściowych, wyznacza również dalszy status prawny nawozów oznaczonych znakiem „NAWÓZ WE”, które zostały wprowadzone do obrotu przed dniem 16 lipca 2022 r. na podstawie rozporządzenia WE nr 2003/2003. Zgodnie z art. 52 rozporządzenia nr 2019/1009 produkty te będą mogły po tej dacie dalej podlegać dystrybucji, niemniej nie będzie już możliwości ich dalszego wprowadzania do obrotu. Pozostawiono natomiast konieczność nadzoru nad tymi produktami, zwłaszcza w zakresie ich właściwego oznakowania, jak również stosowania i przechowywania. Projekt ustawy utrzymuje dotychczasowy nadzór i system kar nad tymi nawozami.</w:t>
            </w:r>
            <w:r w:rsidRPr="000174E1">
              <w:rPr>
                <w:rFonts w:ascii="Times New Roman" w:hAnsi="Times New Roman"/>
                <w:lang w:eastAsia="pl-PL"/>
              </w:rPr>
              <w:t xml:space="preserve"> Producenci nawozów dotychczas oznaczonych jako „NAWOZY WE” będą zobowiązani do ponownej rejestracji takich nawozów mineralnych mając do wyboru możliwość wprowadzania ich do obrotu na podstawie rozporządzenia (UE) nr 2019/1009 jako nawozy CE albo ustawy o nawozach i nawożeniu.</w:t>
            </w:r>
          </w:p>
          <w:p w14:paraId="240A224C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3D29594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00843">
              <w:rPr>
                <w:rFonts w:ascii="Times New Roman" w:hAnsi="Times New Roman"/>
              </w:rPr>
              <w:t>Rozporządzenie</w:t>
            </w:r>
            <w:r>
              <w:rPr>
                <w:rFonts w:ascii="Times New Roman" w:hAnsi="Times New Roman"/>
              </w:rPr>
              <w:t xml:space="preserve"> UE</w:t>
            </w:r>
            <w:r w:rsidRPr="00E00843">
              <w:rPr>
                <w:rFonts w:ascii="Times New Roman" w:hAnsi="Times New Roman"/>
              </w:rPr>
              <w:t xml:space="preserve"> nr 2019/1009 nie narusza możliwości uregulowania przez ustawodawcę tych samych produktów w przepisach krajowych, tworząc tym samym możliwość równoległego wprowadzania do obrotu produktów nawozowych, które nie będą podlegały ustawodawstwu </w:t>
            </w:r>
            <w:proofErr w:type="spellStart"/>
            <w:r w:rsidRPr="00E00843">
              <w:rPr>
                <w:rFonts w:ascii="Times New Roman" w:hAnsi="Times New Roman"/>
              </w:rPr>
              <w:t>harmonizacyjnemu</w:t>
            </w:r>
            <w:proofErr w:type="spellEnd"/>
            <w:r w:rsidRPr="00E00843">
              <w:rPr>
                <w:rFonts w:ascii="Times New Roman" w:hAnsi="Times New Roman"/>
              </w:rPr>
              <w:t xml:space="preserve">. W celu </w:t>
            </w:r>
            <w:r>
              <w:rPr>
                <w:rFonts w:ascii="Times New Roman" w:hAnsi="Times New Roman"/>
              </w:rPr>
              <w:t xml:space="preserve">rozróżnienia tych produktów zmieniono dotychczasowa terminologię, w tym definicje krajowych nawozów i środków wspomagających uprawę roślin, które teraz nie mogą być produktami oznaczonymi znakiem CE. Do ustawy wprowadzono także szereg definicji, w tym definicję produktów nawozowych UE, którymi operuje rozporządzenie UE nr 2019/1009 celem określenia kompetencji właściwych organów nadzoru rynku, oraz systemu kar. Projekt nie zawiera zmian w zakresie wprowadzania do obrotu nawozów oraz środków wspomagających uprawę roślin. </w:t>
            </w:r>
          </w:p>
          <w:p w14:paraId="30C10BAF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8EA05E6" w14:textId="77777777" w:rsidR="00B65740" w:rsidRPr="000E4348" w:rsidRDefault="00B65740" w:rsidP="002D090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 ustawy  </w:t>
            </w:r>
            <w:r>
              <w:rPr>
                <w:rFonts w:ascii="Times New Roman" w:hAnsi="Times New Roman"/>
                <w:color w:val="000000"/>
              </w:rPr>
              <w:t xml:space="preserve">o zmianie ustawy o nawozach i nawożeniu oraz ustawy o podatku od towarów i usług zawiera również nowy wymiar kar pieniężnych, które zostały zaostrzone wobec wcześniejszych sankcji. Dotychczasowy system opierał się o opłaty sankcyjne i kary grzywny, które nie są wystarczającym środkiem odstraszającym od naruszania przepisów ustawy. </w:t>
            </w:r>
          </w:p>
          <w:p w14:paraId="44F133C7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126FE8A9" w14:textId="77777777" w:rsidTr="002D090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BAF5AF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65740" w:rsidRPr="008B4FE6" w14:paraId="5516CC65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A3D43B4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B5B45F4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977B42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  <w:p w14:paraId="59604FBE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EE011C6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72AED127" w14:textId="77777777" w:rsidTr="002D090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AC1502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B65740" w:rsidRPr="008B4FE6" w14:paraId="130146AD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79AC6CB" w14:textId="77777777" w:rsidR="00B65740" w:rsidRPr="008B4FE6" w:rsidRDefault="00B65740" w:rsidP="002D090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7C93CE0" w14:textId="77777777" w:rsidR="00B65740" w:rsidRPr="008B4FE6" w:rsidRDefault="00B65740" w:rsidP="002D090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314322" w14:textId="77777777" w:rsidR="00B65740" w:rsidRPr="008B4FE6" w:rsidRDefault="00B65740" w:rsidP="002D090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2E91618" w14:textId="77777777" w:rsidR="00B65740" w:rsidRPr="008B4FE6" w:rsidRDefault="00B65740" w:rsidP="002D090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65740" w:rsidRPr="008B4FE6" w14:paraId="3D4014B1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0117EA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Wojewódzcy Inspektorzy Ochrony Roślin i Nasiennictwa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BFF474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B5E050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0F4752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organy te zostanie nałożony obowiązek w zakresie kontroli jakości i oznakowania produktów nawozowych UE</w:t>
            </w:r>
          </w:p>
        </w:tc>
      </w:tr>
      <w:tr w:rsidR="00B65740" w:rsidRPr="008B4FE6" w14:paraId="7376C713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669FDE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Wojewódzcy Inspektorzy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0FFD9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A80399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42DFE0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organy te zostanie nałożony obowiązek kontroli stosowania i przechowywania produktów nawozowych UE</w:t>
            </w:r>
          </w:p>
        </w:tc>
      </w:tr>
      <w:tr w:rsidR="00B65740" w:rsidRPr="008B4FE6" w14:paraId="7E6B4AB3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C02C20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D6983C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3F1D71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FD6619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200DED20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51DBB98" w14:textId="77777777" w:rsidR="00B65740" w:rsidRPr="008B4FE6" w:rsidRDefault="00B65740" w:rsidP="002D090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0B2BF1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345A8FF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1525ED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0D0E6BD2" w14:textId="77777777" w:rsidTr="002D090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4E97E0" w14:textId="77777777" w:rsidR="00B65740" w:rsidRPr="008B4FE6" w:rsidRDefault="00B65740" w:rsidP="002D090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4F254F81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6567ED9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F13938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4458C252" w14:textId="77777777" w:rsidTr="002D090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4B145A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65740" w:rsidRPr="008B4FE6" w14:paraId="464C0D52" w14:textId="77777777" w:rsidTr="002D090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C23A6EC" w14:textId="77777777" w:rsidR="00B65740" w:rsidRPr="00E06B81" w:rsidRDefault="00B65740" w:rsidP="002D0905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B81">
              <w:rPr>
                <w:rFonts w:ascii="Times New Roman" w:hAnsi="Times New Roman" w:cs="Times New Roman"/>
                <w:sz w:val="22"/>
                <w:szCs w:val="22"/>
              </w:rPr>
              <w:t>Zgodnie z art. 5 ustawy z dnia 7 lipca 2005 r. o działalności lobbingowej w procesie stanowienia prawa oraz § 52 uchwały nr 190 Rady Ministrów z dnia 29 października 2013 r. – Regulamin pracy Rady Ministrów (M. P. z 2016 r. poz. 1006,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E06B81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06B81">
              <w:rPr>
                <w:rFonts w:ascii="Times New Roman" w:hAnsi="Times New Roman" w:cs="Times New Roman"/>
                <w:sz w:val="22"/>
                <w:szCs w:val="22"/>
              </w:rPr>
              <w:t>. zm.) projekt ustawy zostanie udostępniony w Biuletynie Informacji Publicznej na stronie podmiotowej Rządowego Centrum Legislacji, w serwisie Rządowy Proces Legislacyjny.</w:t>
            </w:r>
          </w:p>
          <w:p w14:paraId="1EC76B20" w14:textId="77777777" w:rsidR="00B65740" w:rsidRPr="00DC0A15" w:rsidRDefault="00B65740" w:rsidP="002D0905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0A15">
              <w:rPr>
                <w:rFonts w:ascii="Times New Roman" w:hAnsi="Times New Roman" w:cs="Times New Roman"/>
                <w:sz w:val="22"/>
                <w:szCs w:val="22"/>
              </w:rPr>
              <w:t>Projekt, w ramach konsultacji i opiniowania, otrzymali:</w:t>
            </w:r>
          </w:p>
          <w:p w14:paraId="636577B9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DC0A15">
              <w:rPr>
                <w:rFonts w:ascii="Times New Roman" w:hAnsi="Times New Roman"/>
              </w:rPr>
              <w:t>NSZZ „Solidarność”</w:t>
            </w:r>
          </w:p>
          <w:p w14:paraId="46AEF0E3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DC0A15">
              <w:rPr>
                <w:rFonts w:ascii="Times New Roman" w:hAnsi="Times New Roman"/>
              </w:rPr>
              <w:t>Ogólnopolskie Porozumienie Związków Zawodowych</w:t>
            </w:r>
          </w:p>
          <w:p w14:paraId="405C17E5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DC0A15">
              <w:rPr>
                <w:rFonts w:ascii="Times New Roman" w:hAnsi="Times New Roman"/>
              </w:rPr>
              <w:t xml:space="preserve">Forum Związków Zawodowych </w:t>
            </w:r>
          </w:p>
          <w:p w14:paraId="280D8775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DC0A15">
              <w:rPr>
                <w:rFonts w:ascii="Times New Roman" w:hAnsi="Times New Roman"/>
                <w:lang w:val="en-GB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C0A15">
              <w:rPr>
                <w:rFonts w:ascii="Times New Roman" w:hAnsi="Times New Roman"/>
                <w:lang w:val="en-GB"/>
              </w:rPr>
              <w:t>Związek</w:t>
            </w:r>
            <w:proofErr w:type="spellEnd"/>
            <w:r w:rsidRPr="00DC0A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C0A15">
              <w:rPr>
                <w:rFonts w:ascii="Times New Roman" w:hAnsi="Times New Roman"/>
                <w:lang w:val="en-GB"/>
              </w:rPr>
              <w:t>Przedsiębiorców</w:t>
            </w:r>
            <w:proofErr w:type="spellEnd"/>
            <w:r w:rsidRPr="00DC0A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C0A15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Pr="00DC0A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C0A15">
              <w:rPr>
                <w:rFonts w:ascii="Times New Roman" w:hAnsi="Times New Roman"/>
                <w:lang w:val="en-GB"/>
              </w:rPr>
              <w:t>Pracodawców</w:t>
            </w:r>
            <w:proofErr w:type="spellEnd"/>
          </w:p>
          <w:p w14:paraId="2A12501F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DC0A15">
              <w:rPr>
                <w:rFonts w:ascii="Times New Roman" w:hAnsi="Times New Roman"/>
                <w:lang w:val="en-GB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DC0A15">
              <w:rPr>
                <w:rFonts w:ascii="Times New Roman" w:hAnsi="Times New Roman"/>
                <w:lang w:val="en-GB"/>
              </w:rPr>
              <w:t>Business Centre Club</w:t>
            </w:r>
          </w:p>
          <w:p w14:paraId="1B988D15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DC0A15">
              <w:rPr>
                <w:rFonts w:ascii="Times New Roman" w:hAnsi="Times New Roman"/>
              </w:rPr>
              <w:t xml:space="preserve">Konfederacja LEWIATAN </w:t>
            </w:r>
          </w:p>
          <w:p w14:paraId="46690D9C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DC0A15">
              <w:rPr>
                <w:rFonts w:ascii="Times New Roman" w:hAnsi="Times New Roman"/>
              </w:rPr>
              <w:t xml:space="preserve">Pracodawcy Rzeczypospolitej Polskiej </w:t>
            </w:r>
          </w:p>
          <w:p w14:paraId="473BEF3D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>-  Federacja Przedsiębiorców Polskich</w:t>
            </w:r>
          </w:p>
          <w:p w14:paraId="6155E1A2" w14:textId="77777777" w:rsidR="00B65740" w:rsidRPr="00DC0A15" w:rsidRDefault="00B65740" w:rsidP="00B65740">
            <w:pPr>
              <w:numPr>
                <w:ilvl w:val="0"/>
                <w:numId w:val="3"/>
              </w:numPr>
              <w:tabs>
                <w:tab w:val="num" w:pos="720"/>
                <w:tab w:val="left" w:pos="2464"/>
              </w:tabs>
              <w:spacing w:line="240" w:lineRule="auto"/>
              <w:ind w:left="0" w:hanging="357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 xml:space="preserve">-  Związek Rzemiosła Polskiego </w:t>
            </w:r>
          </w:p>
          <w:p w14:paraId="36BDE1F6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  <w:bCs/>
              </w:rPr>
              <w:t>-  Rada Dialogu Społecznego</w:t>
            </w:r>
          </w:p>
          <w:p w14:paraId="2D92799A" w14:textId="77777777" w:rsidR="00B65740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>-  Krajowa Rada Izb Rolniczych</w:t>
            </w:r>
          </w:p>
          <w:p w14:paraId="674FDD9D" w14:textId="77777777" w:rsidR="00B65740" w:rsidRPr="00BA764B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  <w:kern w:val="2"/>
              </w:rPr>
            </w:pPr>
            <w:r w:rsidRPr="00BA764B">
              <w:rPr>
                <w:rFonts w:ascii="Times New Roman" w:hAnsi="Times New Roman"/>
                <w:kern w:val="2"/>
              </w:rPr>
              <w:t xml:space="preserve">-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BA764B">
              <w:rPr>
                <w:rFonts w:ascii="Times New Roman" w:hAnsi="Times New Roman"/>
                <w:kern w:val="2"/>
              </w:rPr>
              <w:t>Krajowa Rada Spółdzielcza;</w:t>
            </w:r>
          </w:p>
          <w:p w14:paraId="7DF5B39D" w14:textId="77777777" w:rsidR="00B65740" w:rsidRPr="00BA764B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  <w:kern w:val="2"/>
              </w:rPr>
            </w:pPr>
            <w:r w:rsidRPr="00BA764B">
              <w:rPr>
                <w:rFonts w:ascii="Times New Roman" w:hAnsi="Times New Roman"/>
                <w:kern w:val="2"/>
              </w:rPr>
              <w:t xml:space="preserve">-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BA764B">
              <w:rPr>
                <w:rFonts w:ascii="Times New Roman" w:hAnsi="Times New Roman"/>
                <w:kern w:val="2"/>
              </w:rPr>
              <w:t>Związek Zawodowy Rolników Rzeczpospolitej "Solidarni";</w:t>
            </w:r>
          </w:p>
          <w:p w14:paraId="55F8773C" w14:textId="77777777" w:rsidR="00B65740" w:rsidRPr="00BA764B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  <w:kern w:val="2"/>
              </w:rPr>
            </w:pPr>
            <w:r w:rsidRPr="00BA764B">
              <w:rPr>
                <w:rFonts w:ascii="Times New Roman" w:hAnsi="Times New Roman"/>
                <w:kern w:val="2"/>
              </w:rPr>
              <w:t xml:space="preserve">-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BA764B">
              <w:rPr>
                <w:rFonts w:ascii="Times New Roman" w:hAnsi="Times New Roman"/>
                <w:kern w:val="2"/>
              </w:rPr>
              <w:t>Związek Zawodowy Wsi i Rolnictwa "Solidarność Wiejska";</w:t>
            </w:r>
          </w:p>
          <w:p w14:paraId="38031389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hAnsi="Times New Roman"/>
                <w:kern w:val="2"/>
              </w:rPr>
            </w:pPr>
            <w:r w:rsidRPr="00BA764B">
              <w:rPr>
                <w:rFonts w:ascii="Times New Roman" w:hAnsi="Times New Roman"/>
                <w:kern w:val="2"/>
              </w:rPr>
              <w:t xml:space="preserve">- 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BA764B">
              <w:rPr>
                <w:rFonts w:ascii="Times New Roman" w:hAnsi="Times New Roman"/>
                <w:kern w:val="2"/>
              </w:rPr>
              <w:t xml:space="preserve">Krajowy Związek Grup Producentów </w:t>
            </w:r>
            <w:proofErr w:type="spellStart"/>
            <w:r w:rsidRPr="00BA764B">
              <w:rPr>
                <w:rFonts w:ascii="Times New Roman" w:hAnsi="Times New Roman"/>
                <w:kern w:val="2"/>
              </w:rPr>
              <w:t>Rolnych-Izba</w:t>
            </w:r>
            <w:proofErr w:type="spellEnd"/>
            <w:r w:rsidRPr="00BA764B">
              <w:rPr>
                <w:rFonts w:ascii="Times New Roman" w:hAnsi="Times New Roman"/>
                <w:kern w:val="2"/>
              </w:rPr>
              <w:t xml:space="preserve"> Gospodarcza.</w:t>
            </w:r>
          </w:p>
          <w:p w14:paraId="69114755" w14:textId="77777777" w:rsidR="00B65740" w:rsidRPr="00DC0A15" w:rsidRDefault="00B65740" w:rsidP="002D0905">
            <w:pPr>
              <w:tabs>
                <w:tab w:val="num" w:pos="720"/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>-  Federacja Związków Pracodawców – Dzierżawców i Właścicieli Rolnych</w:t>
            </w:r>
          </w:p>
          <w:p w14:paraId="56EA7C8B" w14:textId="77777777" w:rsidR="00B65740" w:rsidRPr="00DC0A15" w:rsidRDefault="00B65740" w:rsidP="002D0905">
            <w:pPr>
              <w:tabs>
                <w:tab w:val="num" w:pos="720"/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>-  Federacja Branżowych Związków Producentów Rolnych</w:t>
            </w:r>
          </w:p>
          <w:p w14:paraId="7CB8B337" w14:textId="77777777" w:rsidR="00B65740" w:rsidRPr="00DC0A15" w:rsidRDefault="00B65740" w:rsidP="002D0905">
            <w:pPr>
              <w:tabs>
                <w:tab w:val="num" w:pos="720"/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Krajowy Związek Rewizyjny Rolniczych Spółdzielni Produkcyjnych</w:t>
            </w:r>
          </w:p>
          <w:p w14:paraId="54C03333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Krajowy Związek Rolników, Kółek i Organizacji Rolniczych</w:t>
            </w:r>
          </w:p>
          <w:p w14:paraId="6C790CDB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Niezależny Samorządny Związek Zawodowy Rolników Indywidualnych „Solidarność”</w:t>
            </w:r>
          </w:p>
          <w:p w14:paraId="7AEF2BE2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Ogólnopolskie Porozumienie Związków Zawodowych Rolników i Organizacji Rolniczych</w:t>
            </w:r>
          </w:p>
          <w:p w14:paraId="447386E5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Związek Zawodowy Centrum Narodowe Młodych Rolników</w:t>
            </w:r>
          </w:p>
          <w:p w14:paraId="1F0ADA88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Związek Zawodowy Pracowników Rolnictwa w RP</w:t>
            </w:r>
          </w:p>
          <w:p w14:paraId="7E6E56FD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Związek Zawodowy Rolnictwa „SAMOOBRONA”</w:t>
            </w:r>
          </w:p>
          <w:p w14:paraId="6A0C21F7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Związek Zawodowy Rolnictwa i Obszarów Wiejskich „REGIONY”</w:t>
            </w:r>
          </w:p>
          <w:p w14:paraId="6E7FFCE2" w14:textId="77777777" w:rsidR="00B65740" w:rsidRPr="00DC0A15" w:rsidRDefault="00B65740" w:rsidP="002D0905">
            <w:pPr>
              <w:tabs>
                <w:tab w:val="left" w:pos="2464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DC0A15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C0A15">
              <w:rPr>
                <w:rFonts w:ascii="Times New Roman" w:eastAsia="Times New Roman" w:hAnsi="Times New Roman"/>
              </w:rPr>
              <w:t>Związek Zawodowy Rolników „OJCZYZNA”.</w:t>
            </w:r>
          </w:p>
          <w:p w14:paraId="3F15697B" w14:textId="77777777" w:rsidR="00B65740" w:rsidRPr="00DC0A15" w:rsidRDefault="00B65740" w:rsidP="002D09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0A15">
              <w:rPr>
                <w:rFonts w:ascii="Times New Roman" w:hAnsi="Times New Roman"/>
              </w:rPr>
              <w:t>Mając na uwadze § 40 uchwały nr 190 Rady Ministrów z dnia 29 października 2013 r. Regulamin pracy Rady Ministrów (M.P. z 2016 r. poz. 1006, z </w:t>
            </w:r>
            <w:proofErr w:type="spellStart"/>
            <w:r w:rsidRPr="00DC0A15">
              <w:rPr>
                <w:rFonts w:ascii="Times New Roman" w:hAnsi="Times New Roman"/>
              </w:rPr>
              <w:t>późn</w:t>
            </w:r>
            <w:proofErr w:type="spellEnd"/>
            <w:r w:rsidRPr="00DC0A15">
              <w:rPr>
                <w:rFonts w:ascii="Times New Roman" w:hAnsi="Times New Roman"/>
              </w:rPr>
              <w:t>. zm.) oraz odrębne przepisy, takie jak ustawa z dnia 23 maja 1991 r. o związkach zawodowych (Dz. U. z 2019 r. poz. 263) oraz ustawa z dnia 23 maja 1991 r. o organizacjach pracodawców (Dz. U. z 2019 r. poz. 1809), projekt zostanie skonsultowany z ww. podmiotami w terminie 30 dni.</w:t>
            </w:r>
          </w:p>
          <w:p w14:paraId="337C656E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366C3952" w14:textId="77777777" w:rsidTr="002D090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A7CCE4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65740" w:rsidRPr="008B4FE6" w14:paraId="0DD389CE" w14:textId="77777777" w:rsidTr="002D090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0DFC73E" w14:textId="77777777" w:rsidR="00B65740" w:rsidRPr="00C53F26" w:rsidRDefault="00B65740" w:rsidP="002D0905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3EB882A" w14:textId="77777777" w:rsidR="00B65740" w:rsidRPr="00C53F26" w:rsidRDefault="00B65740" w:rsidP="002D09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65740" w:rsidRPr="008B4FE6" w14:paraId="5E279203" w14:textId="77777777" w:rsidTr="002D090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75A4F73" w14:textId="77777777" w:rsidR="00B65740" w:rsidRPr="00C53F26" w:rsidRDefault="00B65740" w:rsidP="002D090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EA69751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7BC2B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CA8ADF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3E7144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8C190A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BA97E94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69EDF9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DB4D2F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2CFB36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AE191E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40646DA" w14:textId="77777777" w:rsidR="00B65740" w:rsidRPr="00C53F26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FD8E074" w14:textId="77777777" w:rsidR="00B65740" w:rsidRPr="00C53F26" w:rsidRDefault="00B65740" w:rsidP="002D090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65740" w:rsidRPr="008B4FE6" w14:paraId="58751DE6" w14:textId="77777777" w:rsidTr="002D090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196F0F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C6507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0AB48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BCBF9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0FCDB1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52C91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F9FE6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A291D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C18A5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E541E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CFFCA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8D963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C8125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65740" w:rsidRPr="008B4FE6" w14:paraId="4E9E86C1" w14:textId="77777777" w:rsidTr="002D090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08EF87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D9C1E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F03C5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47C0C1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BA7C3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3C042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7717A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D3BF0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5378E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532E0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AC8F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9DA66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E06314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65740" w:rsidRPr="008B4FE6" w14:paraId="1091BD0E" w14:textId="77777777" w:rsidTr="002D090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A4790C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C4A08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EDC0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B6D3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7A39D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AAD6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ABF5C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00C2B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3A9DC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C3B71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367A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BC9FB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D487A8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1B4E183D" w14:textId="77777777" w:rsidTr="002D090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0E6920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E3BC7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C1811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205C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23920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A528E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1FC98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838AD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7381C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57C71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C3BEC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7B06A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BB022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6EA0A9BE" w14:textId="77777777" w:rsidTr="002D090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04AAFD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2062A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76A4F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A2BBC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0B397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A807C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3E779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7FAF9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7FB00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9118F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8AC4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76F29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467FC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6B1258A3" w14:textId="77777777" w:rsidTr="002D090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9CBD8F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20E13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C61F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F6B43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6C955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AB2CD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E4DB7A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C48BF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3B83B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8C14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5C54D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F292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84A725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042E6DE0" w14:textId="77777777" w:rsidTr="002D090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DF52E9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7C8B7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0001E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556C9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345BE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B6DF2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9C798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EFAC2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AD1CA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31187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5943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93877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C02A9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4FA18FE9" w14:textId="77777777" w:rsidTr="002D090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39D264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48F9A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E65C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2F1D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F46C3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8732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95FAF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CA2CE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2A4D5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6339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5DCA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FFDB3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89F5A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1E0818A5" w14:textId="77777777" w:rsidTr="002D090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1AB6BD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E1230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09065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448EF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2E953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2045B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2031D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23BD5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23CF6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D98F7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1C6A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0E1F1A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CBF1C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401C60BE" w14:textId="77777777" w:rsidTr="002D090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A63D3F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88626A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34761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A42F3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B54F4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AEB33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1DA10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B6E91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194B5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BE14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AD719A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EBE58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D0676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4D015B3B" w14:textId="77777777" w:rsidTr="002D090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B83005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16DEE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70ED8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55FA3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6CC840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4B28E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6CDDB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8381D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19CBD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AD8E5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A388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988C15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42DC1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31ACB7EF" w14:textId="77777777" w:rsidTr="002D090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15C538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3BC69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3D7E9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2F5A5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9F83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A39DA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E3394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19221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CFF1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137E3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E8BF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ABE66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B30AA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65740" w:rsidRPr="008B4FE6" w14:paraId="651497A6" w14:textId="77777777" w:rsidTr="002D0905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A190AB0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DBBEAFD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32B8B6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DE4FEED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5740" w:rsidRPr="008B4FE6" w14:paraId="15791D8A" w14:textId="77777777" w:rsidTr="002D0905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20A9511" w14:textId="77777777" w:rsidR="00B65740" w:rsidRPr="00C53F2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B059E3E" w14:textId="77777777" w:rsidR="00B65740" w:rsidRPr="00162C9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2C90">
              <w:rPr>
                <w:rFonts w:ascii="Times New Roman" w:hAnsi="Times New Roman"/>
                <w:color w:val="000000"/>
              </w:rPr>
              <w:t xml:space="preserve">Finansowanie organów nadzoru rynku prowadzących kontrole w zakresie produktów nawozowych UE - Państwowej Inspekcji Ochrony Roślin i Nasiennictwa oraz Inspekcji Ochrony Środowiska zostało przewidziane w projekcie ustawy </w:t>
            </w:r>
            <w:r w:rsidRPr="00162C90">
              <w:rPr>
                <w:rFonts w:ascii="Times New Roman" w:hAnsi="Times New Roman"/>
              </w:rPr>
              <w:t>ustanawiającej ramy krajowego systemu nadzoru rynku produktów nieżywnościowych objętych unijnym prawodawst</w:t>
            </w:r>
            <w:r>
              <w:rPr>
                <w:rFonts w:ascii="Times New Roman" w:hAnsi="Times New Roman"/>
              </w:rPr>
              <w:t xml:space="preserve">wem </w:t>
            </w:r>
            <w:proofErr w:type="spellStart"/>
            <w:r>
              <w:rPr>
                <w:rFonts w:ascii="Times New Roman" w:hAnsi="Times New Roman"/>
              </w:rPr>
              <w:t>harmonizacyjnym</w:t>
            </w:r>
            <w:proofErr w:type="spellEnd"/>
            <w:r>
              <w:rPr>
                <w:rFonts w:ascii="Times New Roman" w:hAnsi="Times New Roman"/>
              </w:rPr>
              <w:t xml:space="preserve"> (UC113</w:t>
            </w:r>
            <w:r w:rsidRPr="00162C90">
              <w:rPr>
                <w:rFonts w:ascii="Times New Roman" w:hAnsi="Times New Roman"/>
              </w:rPr>
              <w:t>), której proces legislacyjny jest prowadzony przez Ministerstwo Rozwoju i Technologii.</w:t>
            </w:r>
            <w:r w:rsidRPr="00162C90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31948E09" w14:textId="77777777" w:rsidR="00B65740" w:rsidRDefault="00B65740" w:rsidP="002D09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62C90">
              <w:rPr>
                <w:rFonts w:ascii="Times New Roman" w:hAnsi="Times New Roman"/>
              </w:rPr>
              <w:t xml:space="preserve">Zmiany zaproponowane do załącznika nr 3 do ustawy </w:t>
            </w:r>
            <w:r w:rsidRPr="008E0A27">
              <w:rPr>
                <w:rFonts w:ascii="Times New Roman" w:hAnsi="Times New Roman"/>
                <w:i/>
              </w:rPr>
              <w:t>o podatku od towarów i usług</w:t>
            </w:r>
            <w:r w:rsidRPr="00162C90">
              <w:rPr>
                <w:rFonts w:ascii="Times New Roman" w:hAnsi="Times New Roman"/>
              </w:rPr>
              <w:t xml:space="preserve"> mają charakter porządkowy. Obecny stan prawny obejmuje wszystkie nawozy i środki wspomagające </w:t>
            </w:r>
            <w:r w:rsidRPr="00162C90">
              <w:rPr>
                <w:rFonts w:ascii="Times New Roman" w:hAnsi="Times New Roman"/>
              </w:rPr>
              <w:lastRenderedPageBreak/>
              <w:t>uprawę roślin obniżoną stawką podatku VAT</w:t>
            </w:r>
            <w:r>
              <w:rPr>
                <w:rFonts w:ascii="Times New Roman" w:hAnsi="Times New Roman"/>
              </w:rPr>
              <w:t xml:space="preserve"> (8%),</w:t>
            </w:r>
            <w:r w:rsidRPr="00162C90">
              <w:rPr>
                <w:rFonts w:ascii="Times New Roman" w:hAnsi="Times New Roman"/>
              </w:rPr>
              <w:t xml:space="preserve"> co wynika ze wspomnianego załącznika (wszystkie nawozy) oraz (w przypadku wszystkich środków wspomagających uprawę roślin)</w:t>
            </w:r>
            <w:r>
              <w:rPr>
                <w:rFonts w:ascii="Times New Roman" w:hAnsi="Times New Roman"/>
              </w:rPr>
              <w:t xml:space="preserve"> z</w:t>
            </w:r>
            <w:r w:rsidRPr="00162C90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ozporządzenia</w:t>
            </w:r>
            <w:r w:rsidRPr="00162C90">
              <w:rPr>
                <w:rFonts w:ascii="Times New Roman" w:hAnsi="Times New Roman"/>
              </w:rPr>
              <w:t xml:space="preserve"> </w:t>
            </w:r>
            <w:r w:rsidRPr="00162C90">
              <w:rPr>
                <w:rFonts w:ascii="Times New Roman" w:hAnsi="Times New Roman"/>
                <w:bCs/>
              </w:rPr>
              <w:t>Ministra Finansów, Funduszy i Polityki Regionalnej</w:t>
            </w:r>
            <w:r w:rsidRPr="00162C90">
              <w:rPr>
                <w:rFonts w:ascii="Times New Roman" w:eastAsia="TimesNewRoman" w:hAnsi="Times New Roman"/>
              </w:rPr>
              <w:t xml:space="preserve"> z dnia 17 czerwca 2021 r. </w:t>
            </w:r>
            <w:r w:rsidRPr="00162C90">
              <w:rPr>
                <w:rFonts w:ascii="Times New Roman" w:hAnsi="Times New Roman"/>
                <w:bCs/>
              </w:rPr>
              <w:t>zmieniające rozporządzenie w sprawie towarów i usług, dla których obniża się stawkę podatku od towarów i usług,</w:t>
            </w:r>
            <w:r w:rsidRPr="00162C90">
              <w:rPr>
                <w:rFonts w:ascii="Times New Roman" w:eastAsia="TimesNewRoman" w:hAnsi="Times New Roman"/>
              </w:rPr>
              <w:t xml:space="preserve"> </w:t>
            </w:r>
            <w:r w:rsidRPr="00162C90">
              <w:rPr>
                <w:rFonts w:ascii="Times New Roman" w:hAnsi="Times New Roman"/>
                <w:bCs/>
              </w:rPr>
              <w:t xml:space="preserve">oraz warunków stosowania stawek obniżonych (Dz. U. z 2021 r. poz. 1111). Dotychczasowa terminologia przyjęta w ustawie o nawozach i nawożeniu oraz </w:t>
            </w:r>
            <w:r>
              <w:rPr>
                <w:rFonts w:ascii="Times New Roman" w:hAnsi="Times New Roman"/>
                <w:bCs/>
              </w:rPr>
              <w:t xml:space="preserve">w </w:t>
            </w:r>
            <w:r w:rsidRPr="00162C90">
              <w:rPr>
                <w:rFonts w:ascii="Times New Roman" w:hAnsi="Times New Roman"/>
                <w:bCs/>
              </w:rPr>
              <w:t>rozporządzeniu WE nr</w:t>
            </w:r>
            <w:r>
              <w:rPr>
                <w:rFonts w:ascii="Times New Roman" w:hAnsi="Times New Roman"/>
                <w:bCs/>
              </w:rPr>
              <w:t xml:space="preserve"> 2003/2003 miała charakter jednolity tzn</w:t>
            </w:r>
            <w:r w:rsidRPr="00162C9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obejmowała wszystkie produkty o tym samym przeznaczeniu (np. nawozy) niezależnie od trybu wprowadzenia ich do obrotu.</w:t>
            </w:r>
            <w:r w:rsidRPr="00162C90">
              <w:rPr>
                <w:rFonts w:ascii="Times New Roman" w:hAnsi="Times New Roman"/>
                <w:bCs/>
              </w:rPr>
              <w:t xml:space="preserve"> Zmiany zaproponowane w niniejszej nowelizacji wprowadzają jednoznaczne rozróżnienie tych produktów, co</w:t>
            </w:r>
            <w:r>
              <w:rPr>
                <w:rFonts w:ascii="Times New Roman" w:hAnsi="Times New Roman"/>
                <w:bCs/>
              </w:rPr>
              <w:t xml:space="preserve"> powoduje konieczność nowego</w:t>
            </w:r>
            <w:r w:rsidRPr="00162C90">
              <w:rPr>
                <w:rFonts w:ascii="Times New Roman" w:hAnsi="Times New Roman"/>
                <w:bCs/>
              </w:rPr>
              <w:t xml:space="preserve"> wskazania</w:t>
            </w:r>
            <w:r>
              <w:rPr>
                <w:rFonts w:ascii="Times New Roman" w:hAnsi="Times New Roman"/>
                <w:bCs/>
              </w:rPr>
              <w:t xml:space="preserve"> tych różnic</w:t>
            </w:r>
            <w:r w:rsidRPr="00162C90">
              <w:rPr>
                <w:rFonts w:ascii="Times New Roman" w:hAnsi="Times New Roman"/>
                <w:bCs/>
              </w:rPr>
              <w:t xml:space="preserve"> w ustawie o podatku od towarów i usług. </w:t>
            </w:r>
          </w:p>
          <w:p w14:paraId="2B19BD1F" w14:textId="77777777" w:rsidR="00B65740" w:rsidRPr="00C53F2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5740" w:rsidRPr="008B4FE6" w14:paraId="552DE8B4" w14:textId="77777777" w:rsidTr="002D090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26EF15A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65740" w:rsidRPr="008B4FE6" w14:paraId="4109E2E5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452784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65740" w:rsidRPr="008B4FE6" w14:paraId="626E28D7" w14:textId="77777777" w:rsidTr="002D0905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3525345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8513D01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9E3F61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F25B5B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A79A35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D3CF86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CD33A7" w14:textId="77777777" w:rsidR="00B65740" w:rsidRPr="00301959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B435DB0" w14:textId="77777777" w:rsidR="00B65740" w:rsidRPr="001B3460" w:rsidRDefault="00B65740" w:rsidP="002D090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65740" w:rsidRPr="008B4FE6" w14:paraId="6E1A138D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7219C58" w14:textId="77777777" w:rsidR="00B65740" w:rsidRDefault="00B65740" w:rsidP="002D090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F77A673" w14:textId="77777777" w:rsidR="00B65740" w:rsidRDefault="00B65740" w:rsidP="002D090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C395262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E1A53D1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30E471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C98F0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81B5D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B2919C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CF7F2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D4DBF0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AA7454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47618CEA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6D0919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02EE1A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755C8B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F6C3F6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CA070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F7D3804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DAD76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8778F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F388C0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75E88004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67BDB6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E59449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766B9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0A6D19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0851FD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3E4521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EEE45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9B9F5C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15D06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70178963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38404AC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B437FE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D4C85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168CDF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2703A2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3C30F4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2EF8AE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0700C7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DB5BCC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3AF2DF2D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1FE813E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BB0FF1E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37E256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261A35B2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688456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A9998E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B74ACE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7EBBB2CB" w14:textId="77777777" w:rsidTr="002D0905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68AB957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2F529FB" w14:textId="77777777" w:rsidR="00B65740" w:rsidRPr="00301959" w:rsidRDefault="00B65740" w:rsidP="002D090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5840D3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225D9A4F" w14:textId="77777777" w:rsidTr="002D0905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1C71547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87FE43" w14:textId="77777777" w:rsidR="00B65740" w:rsidRPr="00301959" w:rsidRDefault="00B65740" w:rsidP="002D090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323664" w14:textId="77777777" w:rsidR="00B65740" w:rsidRPr="00B37C80" w:rsidRDefault="00B65740" w:rsidP="002D0905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190F695E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BF58576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0E0BFC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EE8FCC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7E49885F" w14:textId="77777777" w:rsidTr="002D09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49EFF8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87FF78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6607A88" w14:textId="77777777" w:rsidR="00B65740" w:rsidRPr="00B37C8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5740" w:rsidRPr="008B4FE6" w14:paraId="587A8F8D" w14:textId="77777777" w:rsidTr="002D0905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601A3F6" w14:textId="77777777" w:rsidR="00B65740" w:rsidRPr="00301959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7FC1385" w14:textId="77777777" w:rsidR="00B65740" w:rsidRPr="00301959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85B885" w14:textId="77777777" w:rsidR="00B65740" w:rsidRPr="004C0641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64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ustawy nie będzie miał wpływu na </w:t>
            </w:r>
            <w:r w:rsidRPr="004C0641">
              <w:rPr>
                <w:rFonts w:ascii="Times New Roman" w:hAnsi="Times New Roman"/>
                <w:color w:val="000000"/>
              </w:rPr>
              <w:t>konkurencyjność gospodarki i przedsiębiorczość, w tym funkcjonowanie przedsiębiorców oraz na rodzinę, obywateli i gospodarstwa domowe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104B30A" w14:textId="77777777" w:rsidR="00B65740" w:rsidRPr="00301959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C554F9C" w14:textId="77777777" w:rsidR="00B65740" w:rsidRPr="00301959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FDC10BB" w14:textId="77777777" w:rsidR="00B65740" w:rsidRPr="00301959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5740" w:rsidRPr="008B4FE6" w14:paraId="2A61E05A" w14:textId="77777777" w:rsidTr="002D090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E20836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65740" w:rsidRPr="008B4FE6" w14:paraId="02CF988E" w14:textId="77777777" w:rsidTr="002D090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7E8A35B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65740" w:rsidRPr="008B4FE6" w14:paraId="1F006A69" w14:textId="77777777" w:rsidTr="002D0905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11C1F6E" w14:textId="77777777" w:rsidR="00B65740" w:rsidRDefault="00B65740" w:rsidP="002D090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EEEA05E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38B2C2A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D29FDF5" w14:textId="77777777" w:rsidR="00B65740" w:rsidRDefault="00B65740" w:rsidP="002D0905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65740" w:rsidRPr="008B4FE6" w14:paraId="75C1C3FA" w14:textId="77777777" w:rsidTr="002D090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DFEFFC7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AA779FD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5FFD320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25341E6" w14:textId="77777777" w:rsidR="00B65740" w:rsidRPr="008B4FE6" w:rsidRDefault="00B65740" w:rsidP="002D090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F13F523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BB01EB8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978556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5E2FDE7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33293C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5740" w:rsidRPr="008B4FE6" w14:paraId="66AA8D93" w14:textId="77777777" w:rsidTr="002D0905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5883E4A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6CA6915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E2E406A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F6A1107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31C1050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5740" w:rsidRPr="008B4FE6" w14:paraId="11422401" w14:textId="77777777" w:rsidTr="002D0905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806294E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5F6B6B34" w14:textId="77777777" w:rsidR="00B6574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Projekt ustawy nakłada na Wojewódzkich Inspektorów Ochrony Roślin i Nasiennictwa oraz Wojewódzkich Inspektorów Ochrony Środowiska obowiązki w zakresie kontroli jakości, odpowiedniego oznakowania, stosowania oraz przechowywania produktów nawozowych UE, które będą powodowały konieczność prowadzenia odpowiednich postepowań administracyjnych, kontroli, a także prowadzenia baz danych o przedsiębiorcach prowadzących działalność gospodarczą w tym zakresie.  </w:t>
            </w:r>
          </w:p>
          <w:p w14:paraId="36FC89E0" w14:textId="77777777" w:rsidR="00B65740" w:rsidRPr="008B4FE6" w:rsidRDefault="00B65740" w:rsidP="002D090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65740" w:rsidRPr="008B4FE6" w14:paraId="159896E2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6BF4BC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B65740" w:rsidRPr="008B4FE6" w14:paraId="50C40073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9E113A0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BAAB74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</w:t>
            </w:r>
          </w:p>
          <w:p w14:paraId="1650622D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4D31471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65740" w:rsidRPr="008B4FE6" w14:paraId="0DBA560B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522DF9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65740" w:rsidRPr="008B4FE6" w14:paraId="0E947543" w14:textId="77777777" w:rsidTr="002D090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0839A65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C6E997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0FBF19D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C70F0DE" w14:textId="77777777" w:rsidR="00B65740" w:rsidRPr="00BF6667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3D576E0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3E3D86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1CB28D4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9EA1D44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57181C9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E8CCBD2" w14:textId="77777777" w:rsidR="00B65740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A73FBED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C26E2">
              <w:rPr>
                <w:rFonts w:ascii="Times New Roman" w:hAnsi="Times New Roman"/>
                <w:color w:val="000000"/>
              </w:rPr>
            </w:r>
            <w:r w:rsidR="00AC26E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65740" w:rsidRPr="008B4FE6" w14:paraId="2AE530C3" w14:textId="77777777" w:rsidTr="002D0905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0634DB9" w14:textId="77777777" w:rsidR="00B65740" w:rsidRPr="008B4FE6" w:rsidRDefault="00B65740" w:rsidP="002D09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CA9AFDD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4CC7C4B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3C8F5E8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</w:t>
            </w:r>
          </w:p>
          <w:p w14:paraId="3F8E82A6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936EB14" w14:textId="77777777" w:rsidR="00B65740" w:rsidRPr="008B4FE6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6A69FFC9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8C8228" w14:textId="77777777" w:rsidR="00B65740" w:rsidRPr="00627221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65740" w:rsidRPr="008B4FE6" w14:paraId="25E3C3B1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F86B841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E578794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Wykonanie ustawy będzie następowało przez bieżące jej stosowanie.</w:t>
            </w:r>
          </w:p>
          <w:p w14:paraId="2EF91D3F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65740" w:rsidRPr="008B4FE6" w14:paraId="33EF9750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D733EB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65740" w:rsidRPr="008B4FE6" w14:paraId="4F63345B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98CA2D8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34FF695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6824">
              <w:rPr>
                <w:rFonts w:ascii="Times New Roman" w:hAnsi="Times New Roman"/>
                <w:color w:val="000000"/>
                <w:spacing w:val="-2"/>
              </w:rPr>
              <w:t xml:space="preserve">Funkcjonowanie projektowanych przepisów będzie oceniane na bieżąco. </w:t>
            </w:r>
            <w:r w:rsidRPr="003A6824">
              <w:rPr>
                <w:rFonts w:ascii="Times New Roman" w:hAnsi="Times New Roman"/>
              </w:rPr>
              <w:t xml:space="preserve">Należy również zauważyć, że </w:t>
            </w:r>
            <w:r w:rsidRPr="003A6824">
              <w:rPr>
                <w:rFonts w:ascii="Times New Roman" w:hAnsi="Times New Roman"/>
                <w:color w:val="000000"/>
                <w:spacing w:val="-2"/>
              </w:rPr>
              <w:t>z uwagi na postęp techniczny, a także zachodzące zmiany gospodarcze na rynku nawozów i oczekiwania przedsiębiorców, ustawa z dnia 10 lipca 2007 r. o nawozach i nawożeniu będzie dalej zmieniana. Nad  projektem ustawy kompleksowo regulującej kwestie produktów nawozowych i nawożenia są toczone prace robocze. Niniejsza nowelizacja ma charakter przejściowy, którego celem jest dostosowanie przepisów prawa krajowego do rozporządzenia nr 2019/1009. Zmiana ta umożliwi również zebranie informacji i ocenę funkcjonowania przepisów wspomnianego aktu prawnego UE, krajowych przepisów państw członkowskich oraz informacji od przedsiębiorców w tym zidentyfikowanie problemów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A6824">
              <w:rPr>
                <w:rFonts w:ascii="Times New Roman" w:hAnsi="Times New Roman"/>
                <w:color w:val="000000"/>
                <w:spacing w:val="-2"/>
              </w:rPr>
              <w:t xml:space="preserve">i ewentualnych obszarów wymagających dodatkowych działań regulacyjnych. Analiza tych informacji zostanie wykorzystana podczas prac nad nowym projektem ustawy dotyczącym produktów nawozowych.  Wszczęcie procesu legislacyjnego projektu nowej ustawy o produktach nawozowych i nawożeniu jest planowane na drugą połowę 2022 r.        </w:t>
            </w:r>
          </w:p>
          <w:p w14:paraId="5DB3A238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65740" w:rsidRPr="008B4FE6" w14:paraId="40F9C3AA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DC641F" w14:textId="77777777" w:rsidR="00B65740" w:rsidRPr="008B4FE6" w:rsidRDefault="00B65740" w:rsidP="00B6574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65740" w:rsidRPr="008B4FE6" w14:paraId="598D25F7" w14:textId="77777777" w:rsidTr="002D090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8D438C2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109248D1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7002156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3B0BCEE9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F0DA559" w14:textId="77777777" w:rsidR="00B65740" w:rsidRPr="00B37C80" w:rsidRDefault="00B65740" w:rsidP="002D09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6F65E62" w14:textId="77777777" w:rsidR="00B65740" w:rsidRPr="00522D94" w:rsidRDefault="00B65740" w:rsidP="00B65740">
      <w:pPr>
        <w:pStyle w:val="Nagwek1"/>
        <w:rPr>
          <w:rFonts w:ascii="Times New Roman" w:hAnsi="Times New Roman"/>
          <w:sz w:val="20"/>
          <w:szCs w:val="20"/>
        </w:rPr>
      </w:pPr>
    </w:p>
    <w:p w14:paraId="048F8D6D" w14:textId="77777777" w:rsidR="00E34E5E" w:rsidRDefault="00E34E5E"/>
    <w:sectPr w:rsidR="00E34E5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C7F"/>
    <w:multiLevelType w:val="hybridMultilevel"/>
    <w:tmpl w:val="7C30DD68"/>
    <w:lvl w:ilvl="0" w:tplc="01E4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2C95"/>
    <w:multiLevelType w:val="hybridMultilevel"/>
    <w:tmpl w:val="F9B8AE58"/>
    <w:lvl w:ilvl="0" w:tplc="DAE41A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F262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6E5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25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80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A52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2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072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0B0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40"/>
    <w:rsid w:val="002F7F3D"/>
    <w:rsid w:val="00AC26E2"/>
    <w:rsid w:val="00B65740"/>
    <w:rsid w:val="00DC3E4B"/>
    <w:rsid w:val="00E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EF3D"/>
  <w15:chartTrackingRefBased/>
  <w15:docId w15:val="{866C969C-ED83-4703-AFEA-4CA7F2EA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740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57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57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65740"/>
    <w:pPr>
      <w:ind w:left="720"/>
      <w:contextualSpacing/>
    </w:pPr>
  </w:style>
  <w:style w:type="character" w:styleId="Hipercze">
    <w:name w:val="Hyperlink"/>
    <w:uiPriority w:val="99"/>
    <w:unhideWhenUsed/>
    <w:rsid w:val="00B65740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B6574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smaczynski@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Chromiak Iwona</cp:lastModifiedBy>
  <cp:revision>2</cp:revision>
  <dcterms:created xsi:type="dcterms:W3CDTF">2022-03-15T10:23:00Z</dcterms:created>
  <dcterms:modified xsi:type="dcterms:W3CDTF">2022-03-15T10:23:00Z</dcterms:modified>
</cp:coreProperties>
</file>