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2" w:rsidRDefault="002C1232" w:rsidP="00483186">
      <w:pPr>
        <w:keepNext/>
        <w:rPr>
          <w:rStyle w:val="Kkursywa"/>
        </w:rPr>
      </w:pPr>
      <w:bookmarkStart w:id="0" w:name="_GoBack"/>
      <w:bookmarkEnd w:id="0"/>
      <w:r>
        <w:rPr>
          <w:rStyle w:val="Kkursywa"/>
        </w:rPr>
        <w:t xml:space="preserve">                                                                                                                                           P</w:t>
      </w:r>
      <w:r w:rsidRPr="006C6162">
        <w:rPr>
          <w:rStyle w:val="Kkursywa"/>
        </w:rPr>
        <w:t>rojekt</w:t>
      </w:r>
    </w:p>
    <w:p w:rsidR="00332779" w:rsidRPr="00332779" w:rsidRDefault="00332779" w:rsidP="00332779">
      <w:pPr>
        <w:pStyle w:val="OZNRODZAKTUtznustawalubrozporzdzenieiorganwydajcy"/>
      </w:pPr>
      <w:r w:rsidRPr="00332779">
        <w:t>ROZPORZĄDZENIE</w:t>
      </w:r>
    </w:p>
    <w:p w:rsidR="00332779" w:rsidRPr="00332779" w:rsidRDefault="00332779" w:rsidP="0067767F">
      <w:pPr>
        <w:pStyle w:val="OZNRODZAKTUtznustawalubrozporzdzenieiorganwydajcy"/>
        <w:spacing w:after="0"/>
      </w:pPr>
      <w:r w:rsidRPr="0067767F">
        <w:t>M</w:t>
      </w:r>
      <w:r w:rsidR="00C0769B" w:rsidRPr="0067767F">
        <w:t>INISTRA</w:t>
      </w:r>
      <w:r w:rsidR="00C0769B">
        <w:t xml:space="preserve"> ROLNICTWA I ROZWOJU WSI</w:t>
      </w:r>
      <w:r w:rsidR="00E665DE" w:rsidRPr="005B261C">
        <w:rPr>
          <w:rStyle w:val="Odwoanieprzypisudolnego"/>
          <w:b w:val="0"/>
        </w:rPr>
        <w:footnoteReference w:id="1"/>
      </w:r>
      <w:r w:rsidR="00E665DE" w:rsidRPr="005B261C">
        <w:rPr>
          <w:rStyle w:val="Odwoanieprzypisudolnego"/>
          <w:b w:val="0"/>
        </w:rPr>
        <w:t>)</w:t>
      </w:r>
    </w:p>
    <w:p w:rsidR="00332779" w:rsidRPr="00332779" w:rsidRDefault="00C0769B" w:rsidP="00332779">
      <w:pPr>
        <w:pStyle w:val="DATAAKTUdatauchwalenialubwydaniaaktu"/>
      </w:pPr>
      <w:r>
        <w:t>z dnia ……………….</w:t>
      </w:r>
      <w:r w:rsidR="00366E36">
        <w:t>2020</w:t>
      </w:r>
      <w:r w:rsidR="00E7700E">
        <w:t xml:space="preserve"> r.</w:t>
      </w:r>
      <w:r>
        <w:t xml:space="preserve"> </w:t>
      </w:r>
    </w:p>
    <w:p w:rsidR="00332779" w:rsidRPr="00332779" w:rsidRDefault="00E7700E" w:rsidP="00483186">
      <w:pPr>
        <w:pStyle w:val="TYTUAKTUprzedmiotregulacjiustawylubrozporzdzenia"/>
      </w:pPr>
      <w:r>
        <w:t>w</w:t>
      </w:r>
      <w:r w:rsidRPr="00890599">
        <w:t xml:space="preserve"> sprawie </w:t>
      </w:r>
      <w:r w:rsidR="007836C8">
        <w:t xml:space="preserve">wykazu </w:t>
      </w:r>
      <w:r w:rsidR="007836C8" w:rsidRPr="007836C8">
        <w:t xml:space="preserve">krajowych laboratoriów referencyjnych przeprowadzających badania na potrzeby </w:t>
      </w:r>
      <w:r w:rsidR="00417EE4">
        <w:t xml:space="preserve">zadań wykonywanych przez </w:t>
      </w:r>
      <w:r w:rsidR="005B56EF" w:rsidRPr="005B56EF">
        <w:t>Państwow</w:t>
      </w:r>
      <w:r w:rsidR="00417EE4">
        <w:t>ą</w:t>
      </w:r>
      <w:r w:rsidR="005B56EF" w:rsidRPr="005B56EF">
        <w:t xml:space="preserve"> Inspekcj</w:t>
      </w:r>
      <w:r w:rsidR="00417EE4">
        <w:t>ę</w:t>
      </w:r>
      <w:r w:rsidR="005B56EF" w:rsidRPr="005B56EF">
        <w:t xml:space="preserve"> Ochrony Roślin i Nasiennictwa</w:t>
      </w:r>
    </w:p>
    <w:p w:rsidR="00332779" w:rsidRPr="00332779" w:rsidRDefault="007836C8" w:rsidP="00C0769B">
      <w:pPr>
        <w:pStyle w:val="NIEARTTEKSTtekstnieartykuowanynppodstprawnarozplubpreambua"/>
      </w:pPr>
      <w:r>
        <w:t>Na podstawie art. 3</w:t>
      </w:r>
      <w:r w:rsidR="00B678AC">
        <w:t>6</w:t>
      </w:r>
      <w:r>
        <w:t xml:space="preserve"> ust. 1</w:t>
      </w:r>
      <w:r w:rsidR="00DB38A7">
        <w:t xml:space="preserve"> </w:t>
      </w:r>
      <w:r w:rsidR="00E7700E" w:rsidRPr="00890599">
        <w:t xml:space="preserve">ustawy z dnia </w:t>
      </w:r>
      <w:r w:rsidR="007E4156">
        <w:t xml:space="preserve">23 stycznia 2020 r. </w:t>
      </w:r>
      <w:r w:rsidR="00E7700E" w:rsidRPr="00890599">
        <w:t xml:space="preserve">o </w:t>
      </w:r>
      <w:r w:rsidR="005B56EF" w:rsidRPr="005B56EF">
        <w:t xml:space="preserve">Państwowej Inspekcji Ochrony Roślin i Nasiennictwa </w:t>
      </w:r>
      <w:r w:rsidR="00E7700E" w:rsidRPr="005E0E01">
        <w:t>(</w:t>
      </w:r>
      <w:r w:rsidR="00E7700E" w:rsidRPr="0007588C">
        <w:t xml:space="preserve">Dz. U. poz. </w:t>
      </w:r>
      <w:r w:rsidR="005B56EF">
        <w:t>…</w:t>
      </w:r>
      <w:r w:rsidR="00E7700E" w:rsidRPr="005E0E01">
        <w:t>) zarządza się, co następuje</w:t>
      </w:r>
      <w:r w:rsidR="00332779" w:rsidRPr="00332779">
        <w:t>:</w:t>
      </w:r>
    </w:p>
    <w:p w:rsidR="005B56EF" w:rsidRPr="00895DB3" w:rsidRDefault="00332779" w:rsidP="004B1C3D">
      <w:pPr>
        <w:spacing w:before="120"/>
        <w:ind w:firstLine="510"/>
        <w:jc w:val="both"/>
        <w:rPr>
          <w:rFonts w:cs="Times New Roman"/>
        </w:rPr>
      </w:pPr>
      <w:r w:rsidRPr="00483186">
        <w:rPr>
          <w:rStyle w:val="Ppogrubienie"/>
        </w:rPr>
        <w:t>§ 1.</w:t>
      </w:r>
      <w:r>
        <w:t> </w:t>
      </w:r>
      <w:r w:rsidR="007E4156">
        <w:t>Rozporządzenie o</w:t>
      </w:r>
      <w:r w:rsidR="008A0484">
        <w:t xml:space="preserve">kreśla wykaz </w:t>
      </w:r>
      <w:r w:rsidR="008A0484" w:rsidRPr="007836C8">
        <w:t>krajow</w:t>
      </w:r>
      <w:r w:rsidR="007E4156">
        <w:t xml:space="preserve">ych laboratoriów referencyjnych, o których mowa w art. 100 ust. 1 rozporządzenia </w:t>
      </w:r>
      <w:r w:rsidR="007E4156" w:rsidRPr="007E4156">
        <w:t xml:space="preserve">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zmieniającego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uchylającego rozporządzenia Parlamentu Europejskiego i Rady (WE) nr 854/2004 i (WE) nr 882/2004, dyrektywy Rady 89/608/EWG, 89/662/EWG, 90/425/EWG, 91/496/EWG, 96/23/WE, 96/93/WE i 97/78/WE oraz decyzję Rady 92/438/EWG (rozporządzenie w sprawie kontroli urzędowych) (Dz. Urz. UE L 95 z 07.04.2017, str. 1 z </w:t>
      </w:r>
      <w:proofErr w:type="spellStart"/>
      <w:r w:rsidR="007E4156" w:rsidRPr="007E4156">
        <w:t>późn</w:t>
      </w:r>
      <w:proofErr w:type="spellEnd"/>
      <w:r w:rsidR="007E4156" w:rsidRPr="007E4156">
        <w:t>. zm.)</w:t>
      </w:r>
      <w:r w:rsidR="007E4156">
        <w:t>, zwanych dalej „krajowymi laboratoriami referencyjnymi”,</w:t>
      </w:r>
      <w:r w:rsidR="007E4156" w:rsidRPr="007E4156">
        <w:t xml:space="preserve"> </w:t>
      </w:r>
      <w:r w:rsidR="008A0484" w:rsidRPr="007836C8">
        <w:t>przeprowadzających badania</w:t>
      </w:r>
      <w:r w:rsidR="00895DB3" w:rsidRPr="00895DB3">
        <w:rPr>
          <w:rFonts w:cs="Times New Roman"/>
        </w:rPr>
        <w:t xml:space="preserve"> </w:t>
      </w:r>
      <w:r w:rsidR="008A0484" w:rsidRPr="007836C8">
        <w:t xml:space="preserve">na potrzeby </w:t>
      </w:r>
      <w:r w:rsidR="00417EE4">
        <w:t xml:space="preserve">zadań wykonywanych przez </w:t>
      </w:r>
      <w:r w:rsidR="008A0484" w:rsidRPr="005B56EF">
        <w:t>Państwow</w:t>
      </w:r>
      <w:r w:rsidR="00417EE4">
        <w:t>ą Inspekcję</w:t>
      </w:r>
      <w:r w:rsidR="008A0484" w:rsidRPr="005B56EF">
        <w:t xml:space="preserve"> Ochrony Roślin i Nasiennictwa</w:t>
      </w:r>
      <w:r w:rsidR="007E4156">
        <w:t>.</w:t>
      </w:r>
    </w:p>
    <w:p w:rsidR="007E4156" w:rsidRDefault="005B56EF" w:rsidP="005B56EF">
      <w:pPr>
        <w:pStyle w:val="ARTartustawynprozporzdzenia"/>
      </w:pPr>
      <w:r w:rsidRPr="00483186">
        <w:rPr>
          <w:rStyle w:val="Ppogrubienie"/>
        </w:rPr>
        <w:t>§</w:t>
      </w:r>
      <w:r w:rsidR="00483186">
        <w:rPr>
          <w:rStyle w:val="Ppogrubienie"/>
        </w:rPr>
        <w:t> </w:t>
      </w:r>
      <w:r w:rsidR="00856616" w:rsidRPr="00483186">
        <w:rPr>
          <w:rStyle w:val="Ppogrubienie"/>
        </w:rPr>
        <w:t>2</w:t>
      </w:r>
      <w:r w:rsidRPr="00483186">
        <w:rPr>
          <w:rStyle w:val="Ppogrubienie"/>
        </w:rPr>
        <w:t>.</w:t>
      </w:r>
      <w:r>
        <w:t xml:space="preserve"> </w:t>
      </w:r>
      <w:r w:rsidR="007E4156">
        <w:t>Wykaz krajowych laboratoriów referencyjnych jest określony w załączniku do rozporządzenia.</w:t>
      </w:r>
    </w:p>
    <w:p w:rsidR="00076D41" w:rsidRDefault="00076D41" w:rsidP="005B56EF">
      <w:pPr>
        <w:pStyle w:val="ARTartustawynprozporzdzenia"/>
        <w:rPr>
          <w:rStyle w:val="Ppogrubienie"/>
        </w:rPr>
      </w:pPr>
    </w:p>
    <w:p w:rsidR="005B56EF" w:rsidRDefault="007E4156" w:rsidP="005B56EF">
      <w:pPr>
        <w:pStyle w:val="ARTartustawynprozporzdzenia"/>
      </w:pPr>
      <w:r w:rsidRPr="00483186">
        <w:rPr>
          <w:rStyle w:val="Ppogrubienie"/>
        </w:rPr>
        <w:t>§</w:t>
      </w:r>
      <w:r>
        <w:rPr>
          <w:rStyle w:val="Ppogrubienie"/>
        </w:rPr>
        <w:t xml:space="preserve"> 3. </w:t>
      </w:r>
      <w:r w:rsidR="005B56EF">
        <w:t xml:space="preserve">Rozporządzenie wchodzi w życie </w:t>
      </w:r>
      <w:r w:rsidR="00417EE4">
        <w:t>po upływie 14 dni od dnia ogłoszenia</w:t>
      </w:r>
      <w:r w:rsidR="005B56EF">
        <w:t>.</w:t>
      </w:r>
    </w:p>
    <w:p w:rsidR="00011498" w:rsidRDefault="00011498" w:rsidP="005B56EF">
      <w:pPr>
        <w:pStyle w:val="ARTartustawynprozporzdzenia"/>
      </w:pPr>
    </w:p>
    <w:p w:rsidR="007B584F" w:rsidRDefault="007B584F" w:rsidP="00483186">
      <w:pPr>
        <w:pStyle w:val="ARTartustawynprozporzdzenia"/>
        <w:keepNext/>
      </w:pPr>
    </w:p>
    <w:p w:rsidR="007B584F" w:rsidRPr="00332779" w:rsidRDefault="007B584F" w:rsidP="00392A33">
      <w:pPr>
        <w:pStyle w:val="NAZORGWYDnazwaorganuwydajcegoprojektowanyakt"/>
      </w:pPr>
      <w:r>
        <w:t xml:space="preserve">MINISTER ROLNICTWA I ROZWOJU WSI </w:t>
      </w:r>
    </w:p>
    <w:p w:rsidR="00634CE4" w:rsidRDefault="00634CE4">
      <w:pPr>
        <w:widowControl/>
        <w:autoSpaceDE/>
        <w:autoSpaceDN/>
        <w:adjustRightInd/>
      </w:pPr>
      <w:r>
        <w:br w:type="page"/>
      </w:r>
    </w:p>
    <w:p w:rsidR="00634CE4" w:rsidRDefault="00634CE4" w:rsidP="00634CE4">
      <w:pPr>
        <w:pStyle w:val="TEKSTZacznikido"/>
      </w:pPr>
      <w:r w:rsidRPr="001A05A5">
        <w:lastRenderedPageBreak/>
        <w:t>Załącznik do rozporządzenia</w:t>
      </w:r>
      <w:r>
        <w:t xml:space="preserve"> </w:t>
      </w:r>
    </w:p>
    <w:p w:rsidR="00634CE4" w:rsidRDefault="00634CE4" w:rsidP="00634CE4">
      <w:pPr>
        <w:pStyle w:val="TEKSTZacznikido"/>
      </w:pPr>
      <w:r w:rsidRPr="001A05A5">
        <w:t>Ministra Rolnictwa i Rozwoju Wsi</w:t>
      </w:r>
    </w:p>
    <w:p w:rsidR="00634CE4" w:rsidRDefault="00634CE4" w:rsidP="00634CE4">
      <w:pPr>
        <w:pStyle w:val="TEKSTZacznikido"/>
      </w:pPr>
      <w:r>
        <w:t xml:space="preserve"> </w:t>
      </w:r>
      <w:r w:rsidR="007E4156">
        <w:t>z dnia …….. 2020</w:t>
      </w:r>
      <w:r w:rsidRPr="001A05A5">
        <w:t xml:space="preserve"> r. (poz. ....)</w:t>
      </w:r>
    </w:p>
    <w:p w:rsidR="00634CE4" w:rsidRDefault="00634CE4" w:rsidP="006B5D43">
      <w:pPr>
        <w:pStyle w:val="TYTTABELItytutabeli"/>
        <w:jc w:val="left"/>
      </w:pPr>
    </w:p>
    <w:p w:rsidR="00634CE4" w:rsidRPr="001A05A5" w:rsidRDefault="008A0484" w:rsidP="00634CE4">
      <w:pPr>
        <w:pStyle w:val="TYTTABELItytutabeli"/>
      </w:pPr>
      <w:r w:rsidRPr="008A0484">
        <w:t xml:space="preserve">wykaz krajowych laboratoriów referencyjnych przeprowadzających badania na potrzeby </w:t>
      </w:r>
      <w:r w:rsidR="003F3D0F">
        <w:t xml:space="preserve">ZADAŃ WYKONYWANYCH PRZEZ </w:t>
      </w:r>
      <w:r w:rsidRPr="008A0484">
        <w:t>Państwow</w:t>
      </w:r>
      <w:r w:rsidR="003F3D0F">
        <w:t>Ą</w:t>
      </w:r>
      <w:r w:rsidRPr="008A0484">
        <w:t xml:space="preserve"> Inspekcj</w:t>
      </w:r>
      <w:r w:rsidR="003F3D0F">
        <w:t>Ę</w:t>
      </w:r>
      <w:r w:rsidRPr="008A0484">
        <w:t xml:space="preserve"> Ochrony Roślin i Nasiennictwa</w:t>
      </w:r>
    </w:p>
    <w:p w:rsidR="007F3907" w:rsidRPr="001A05A5" w:rsidRDefault="007F3907" w:rsidP="00634CE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551"/>
        <w:gridCol w:w="3686"/>
      </w:tblGrid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 w:rsidRPr="0002269A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laboratorium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laboratorium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183429" w:rsidRDefault="003F3D0F" w:rsidP="005543DF">
            <w:pPr>
              <w:pStyle w:val="TEKSTwTABELIWYRODKOWANYtekstwyrodkowanywpoziomie"/>
            </w:pPr>
            <w:r>
              <w:rPr>
                <w:sz w:val="22"/>
                <w:szCs w:val="22"/>
              </w:rPr>
              <w:t>Przedmiot badań</w:t>
            </w:r>
          </w:p>
        </w:tc>
      </w:tr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Centralne Laboratorium Głównego Inspektoratu Ochrony Roślin i Nasiennictwa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ul. Żwirki i Wigury 73</w:t>
            </w:r>
          </w:p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87-100 Toruń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6B5D43">
            <w:pPr>
              <w:pStyle w:val="P1wTABELIpoziom1numeracjiw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owady i roztocz</w:t>
            </w:r>
            <w:r w:rsidR="0021518F">
              <w:rPr>
                <w:sz w:val="22"/>
                <w:szCs w:val="22"/>
              </w:rPr>
              <w:t>e</w:t>
            </w:r>
            <w:r w:rsidR="006B5D43" w:rsidRPr="006B5D43">
              <w:rPr>
                <w:rStyle w:val="IGindeksgrny"/>
              </w:rPr>
              <w:t>1)</w:t>
            </w:r>
          </w:p>
        </w:tc>
      </w:tr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Centralne Laboratorium Głównego Inspektoratu Ochrony Roślin i Nasiennictwa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ul. Żwirki i Wigury 73</w:t>
            </w:r>
          </w:p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87-100 Toruń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5543DF" w:rsidP="00B678AC">
            <w:pPr>
              <w:pStyle w:val="P1wTABELIpoziom1numeracjiw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F3D0F">
              <w:rPr>
                <w:sz w:val="22"/>
                <w:szCs w:val="22"/>
              </w:rPr>
              <w:t>icienie</w:t>
            </w:r>
            <w:r w:rsidRPr="005543DF">
              <w:rPr>
                <w:rStyle w:val="IGindeksgrny"/>
              </w:rPr>
              <w:t>1)</w:t>
            </w:r>
          </w:p>
        </w:tc>
      </w:tr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Centralne Laboratorium Głównego Inspektoratu Ochrony Roślin i Nasiennictwa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ul. Żwirki i Wigury 73</w:t>
            </w:r>
          </w:p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87-100 Toruń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bakterie</w:t>
            </w:r>
            <w:r w:rsidR="005543DF" w:rsidRPr="005543DF">
              <w:rPr>
                <w:rStyle w:val="IGindeksgrny"/>
              </w:rPr>
              <w:t>1)</w:t>
            </w:r>
          </w:p>
        </w:tc>
      </w:tr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Centralne Laboratorium Głównego Inspektoratu Ochrony Roślin i Nasiennictwa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ul. Żwirki i Wigury 73</w:t>
            </w:r>
          </w:p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87-100 Toruń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grzyby i lęgniowce</w:t>
            </w:r>
            <w:r w:rsidR="005543DF" w:rsidRPr="005543DF">
              <w:rPr>
                <w:rStyle w:val="IGindeksgrny"/>
              </w:rPr>
              <w:t>1)</w:t>
            </w:r>
          </w:p>
        </w:tc>
      </w:tr>
      <w:tr w:rsidR="003F3D0F" w:rsidRPr="0002269A" w:rsidTr="003F3D0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3F3D0F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Centralne Laboratorium Głównego Inspektoratu Ochrony Roślin i Nasiennictwa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ul. Żwirki i Wigury 73</w:t>
            </w:r>
          </w:p>
          <w:p w:rsidR="003F3D0F" w:rsidRPr="0002269A" w:rsidRDefault="003F3D0F" w:rsidP="00B678AC">
            <w:pPr>
              <w:pStyle w:val="P1wTABELIpoziom1numeracjiwtabeli"/>
              <w:ind w:left="0" w:firstLine="0"/>
              <w:jc w:val="left"/>
              <w:rPr>
                <w:sz w:val="22"/>
                <w:szCs w:val="22"/>
              </w:rPr>
            </w:pPr>
            <w:r w:rsidRPr="007F3907">
              <w:rPr>
                <w:sz w:val="22"/>
                <w:szCs w:val="22"/>
              </w:rPr>
              <w:t>87-100 Toruń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0F" w:rsidRPr="0002269A" w:rsidRDefault="003F3D0F" w:rsidP="00B678AC">
            <w:pPr>
              <w:pStyle w:val="P1wTABELIpoziom1numeracjiwtabel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wirusy, </w:t>
            </w:r>
            <w:proofErr w:type="spellStart"/>
            <w:r>
              <w:rPr>
                <w:sz w:val="22"/>
                <w:szCs w:val="22"/>
              </w:rPr>
              <w:t>wiroidy</w:t>
            </w:r>
            <w:proofErr w:type="spellEnd"/>
            <w:r>
              <w:rPr>
                <w:sz w:val="22"/>
                <w:szCs w:val="22"/>
              </w:rPr>
              <w:t xml:space="preserve"> i fitoplazmy</w:t>
            </w:r>
            <w:r w:rsidR="005543DF" w:rsidRPr="005543DF">
              <w:rPr>
                <w:rStyle w:val="IGindeksgrny"/>
              </w:rPr>
              <w:t>1)</w:t>
            </w:r>
          </w:p>
        </w:tc>
      </w:tr>
    </w:tbl>
    <w:p w:rsidR="008A254A" w:rsidRPr="006B5D43" w:rsidRDefault="006B5D43" w:rsidP="006B5D43">
      <w:pPr>
        <w:widowControl/>
        <w:autoSpaceDE/>
        <w:autoSpaceDN/>
        <w:adjustRightInd/>
        <w:ind w:left="284" w:hanging="284"/>
        <w:jc w:val="both"/>
        <w:rPr>
          <w:sz w:val="20"/>
        </w:rPr>
      </w:pPr>
      <w:r w:rsidRPr="006B5D43">
        <w:rPr>
          <w:rStyle w:val="Odwoanieprzypisudolnego"/>
          <w:sz w:val="20"/>
        </w:rPr>
        <w:t>1</w:t>
      </w:r>
      <w:r w:rsidRPr="006B5D43">
        <w:rPr>
          <w:rStyle w:val="IGindeksgrny"/>
          <w:rFonts w:cs="Times New Roman"/>
          <w:sz w:val="20"/>
        </w:rPr>
        <w:t>)</w:t>
      </w:r>
      <w:r w:rsidRPr="006B5D43">
        <w:rPr>
          <w:sz w:val="20"/>
        </w:rPr>
        <w:t xml:space="preserve"> </w:t>
      </w:r>
      <w:r w:rsidRPr="006B5D43">
        <w:rPr>
          <w:sz w:val="20"/>
        </w:rPr>
        <w:tab/>
        <w:t xml:space="preserve">Dotyczy </w:t>
      </w:r>
      <w:proofErr w:type="spellStart"/>
      <w:r w:rsidRPr="006B5D43">
        <w:rPr>
          <w:rFonts w:cs="Times New Roman"/>
          <w:sz w:val="20"/>
        </w:rPr>
        <w:t>agrofagów</w:t>
      </w:r>
      <w:proofErr w:type="spellEnd"/>
      <w:r w:rsidRPr="006B5D43">
        <w:rPr>
          <w:rFonts w:cs="Times New Roman"/>
          <w:sz w:val="20"/>
        </w:rPr>
        <w:t xml:space="preserve"> kwarantannowych oraz </w:t>
      </w:r>
      <w:proofErr w:type="spellStart"/>
      <w:r w:rsidRPr="006B5D43">
        <w:rPr>
          <w:rFonts w:cs="Times New Roman"/>
          <w:sz w:val="20"/>
        </w:rPr>
        <w:t>agrofagów</w:t>
      </w:r>
      <w:proofErr w:type="spellEnd"/>
      <w:r w:rsidRPr="006B5D43">
        <w:rPr>
          <w:rFonts w:cs="Times New Roman"/>
          <w:sz w:val="20"/>
        </w:rPr>
        <w:t xml:space="preserve">, które zostały uznane przez Komisję Europejską za spełniające warunki włączenia do wykazu </w:t>
      </w:r>
      <w:proofErr w:type="spellStart"/>
      <w:r w:rsidRPr="006B5D43">
        <w:rPr>
          <w:rFonts w:cs="Times New Roman"/>
          <w:sz w:val="20"/>
        </w:rPr>
        <w:t>agrofagów</w:t>
      </w:r>
      <w:proofErr w:type="spellEnd"/>
      <w:r w:rsidRPr="006B5D43">
        <w:rPr>
          <w:rFonts w:cs="Times New Roman"/>
          <w:sz w:val="20"/>
        </w:rPr>
        <w:t xml:space="preserve"> dla Unii Europejskiej zgodnie z art. 30 ust. 1 rozporządzenia Parlamentu Europejskiego i Rady (UE) 2016/2031 z dnia 26 października 2016 r. w sprawie środków ochronnych przeciwko </w:t>
      </w:r>
      <w:proofErr w:type="spellStart"/>
      <w:r w:rsidRPr="006B5D43">
        <w:rPr>
          <w:rFonts w:cs="Times New Roman"/>
          <w:sz w:val="20"/>
        </w:rPr>
        <w:t>agrofagom</w:t>
      </w:r>
      <w:proofErr w:type="spellEnd"/>
      <w:r w:rsidRPr="006B5D43">
        <w:rPr>
          <w:rFonts w:cs="Times New Roman"/>
          <w:sz w:val="20"/>
        </w:rPr>
        <w:t xml:space="preserve"> roślin, zmieniającego rozporządzenia Parlamentu Europejskiego i Rady (UE) nr 228/2013, (UE) nr 652/2014 i (UE) nr 1143/2014 oraz uchylającego dyrektywy Rady 69/464/EWG, 74/647/EWG, 93/85/EWG, 98/57/WE, 2000/29/WE, 2006/91/WE i 2007/33/WE (Dz. Urz. UE L 317 z 23.11.2016, str. 4, z </w:t>
      </w:r>
      <w:proofErr w:type="spellStart"/>
      <w:r w:rsidRPr="006B5D43">
        <w:rPr>
          <w:rFonts w:cs="Times New Roman"/>
          <w:sz w:val="20"/>
        </w:rPr>
        <w:t>późn</w:t>
      </w:r>
      <w:proofErr w:type="spellEnd"/>
      <w:r w:rsidRPr="006B5D43">
        <w:rPr>
          <w:rFonts w:cs="Times New Roman"/>
          <w:sz w:val="20"/>
        </w:rPr>
        <w:t>. zm.).</w:t>
      </w:r>
    </w:p>
    <w:p w:rsidR="002F03B7" w:rsidRDefault="002F03B7">
      <w:pPr>
        <w:widowControl/>
        <w:autoSpaceDE/>
        <w:autoSpaceDN/>
        <w:adjustRightInd/>
        <w:rPr>
          <w:b/>
        </w:rPr>
      </w:pPr>
    </w:p>
    <w:p w:rsidR="008A254A" w:rsidRPr="008A254A" w:rsidRDefault="008A254A" w:rsidP="00C82443">
      <w:pPr>
        <w:jc w:val="center"/>
        <w:rPr>
          <w:b/>
        </w:rPr>
      </w:pPr>
      <w:r w:rsidRPr="008A254A">
        <w:rPr>
          <w:b/>
        </w:rPr>
        <w:t>Uzasadnienie</w:t>
      </w:r>
    </w:p>
    <w:p w:rsidR="008A254A" w:rsidRDefault="008A254A" w:rsidP="00C82443">
      <w:pPr>
        <w:jc w:val="center"/>
      </w:pPr>
    </w:p>
    <w:p w:rsidR="008A254A" w:rsidRDefault="008A254A" w:rsidP="00C82443">
      <w:pPr>
        <w:pStyle w:val="NIEARTTEKSTtekstnieartykuowanynppodstprawnarozplubpreambua"/>
        <w:spacing w:before="0"/>
      </w:pPr>
      <w:r>
        <w:t xml:space="preserve">Projektowane rozporządzenie wykonuje delegację art. </w:t>
      </w:r>
      <w:r w:rsidR="00B678AC">
        <w:t>36</w:t>
      </w:r>
      <w:r w:rsidR="00856616">
        <w:t xml:space="preserve"> ust. 1</w:t>
      </w:r>
      <w:r>
        <w:t xml:space="preserve"> ustawy z dnia</w:t>
      </w:r>
      <w:r w:rsidR="00BD3D56">
        <w:t xml:space="preserve"> 23 stycznia 2020 r.</w:t>
      </w:r>
      <w:r>
        <w:t xml:space="preserve"> </w:t>
      </w:r>
      <w:r w:rsidR="00BD3D56">
        <w:t>o</w:t>
      </w:r>
      <w:r w:rsidR="00366E36">
        <w:t> </w:t>
      </w:r>
      <w:r>
        <w:t>Państwowej Inspekcji Ochrony Roślin i Nasiennictwa (Dz. U. poz. …).</w:t>
      </w:r>
    </w:p>
    <w:p w:rsidR="008A254A" w:rsidRDefault="008A254A" w:rsidP="00C82443">
      <w:pPr>
        <w:pStyle w:val="ARTartustawynprozporzdzenia"/>
        <w:spacing w:before="0"/>
      </w:pPr>
      <w:r>
        <w:t>Projektowane rozporządzenie określa</w:t>
      </w:r>
      <w:r w:rsidR="002022A4">
        <w:t xml:space="preserve"> </w:t>
      </w:r>
      <w:r w:rsidR="002022A4" w:rsidRPr="002022A4">
        <w:t>wykaz krajowych laboratoriów referencyjnych przeprowadzających badania na potrzeby Państwowej Inspekcji Ochrony Roślin i</w:t>
      </w:r>
      <w:r w:rsidR="00366E36">
        <w:t> </w:t>
      </w:r>
      <w:r w:rsidR="002022A4" w:rsidRPr="002022A4">
        <w:t>Nasiennictwa</w:t>
      </w:r>
      <w:r w:rsidR="002022A4">
        <w:t>.</w:t>
      </w:r>
    </w:p>
    <w:p w:rsidR="002022A4" w:rsidRDefault="002022A4" w:rsidP="00C82443">
      <w:pPr>
        <w:pStyle w:val="ARTartustawynprozporzdzenia"/>
        <w:spacing w:before="0"/>
      </w:pPr>
      <w:r>
        <w:t xml:space="preserve">Przepisy art. 100 ust. 1 </w:t>
      </w:r>
      <w:r w:rsidRPr="002022A4">
        <w:t>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zmieniającego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uchylającego rozporządzenia Parlamentu Europejskiego i Rady (WE) nr 854/2004 i</w:t>
      </w:r>
      <w:r w:rsidR="00B678AC">
        <w:t> </w:t>
      </w:r>
      <w:r w:rsidRPr="002022A4">
        <w:t>(WE) nr 882/2004, dyr</w:t>
      </w:r>
      <w:r w:rsidR="003F3D0F">
        <w:t>ektywy Rady 89/608/EWG, 89/662/</w:t>
      </w:r>
      <w:r w:rsidRPr="002022A4">
        <w:t>EWG, 90/425/EWG, 91/496/EWG, 96/23/WE, 96/93/WE i 97/78/WE oraz decyzję Rady 92/438/EWG (rozporządzenie w sprawie kontroli urzędowych) (Dz. Urz. UE L 95 z 07.04.2017, str. 1</w:t>
      </w:r>
      <w:r w:rsidR="003F3D0F">
        <w:t xml:space="preserve"> z</w:t>
      </w:r>
      <w:r w:rsidR="00366E36">
        <w:t> </w:t>
      </w:r>
      <w:proofErr w:type="spellStart"/>
      <w:r w:rsidR="003F3D0F">
        <w:t>późn</w:t>
      </w:r>
      <w:proofErr w:type="spellEnd"/>
      <w:r w:rsidR="003F3D0F">
        <w:t>. zm.</w:t>
      </w:r>
      <w:r w:rsidRPr="002022A4">
        <w:t>) stanowią, że:</w:t>
      </w:r>
      <w:r w:rsidR="003F3D0F">
        <w:t xml:space="preserve"> </w:t>
      </w:r>
      <w:r w:rsidRPr="00F84C82">
        <w:t>„</w:t>
      </w:r>
      <w:r w:rsidR="003F3D0F">
        <w:t>p</w:t>
      </w:r>
      <w:r w:rsidRPr="002022A4">
        <w:t>aństwa członkowskie wyznaczają co najmniej jedno krajowe laboratorium referencyjne dla każdego laboratorium referencyjnego Unii Europejskiej wyznaczonego zgodnie z art. 93 ust. 1</w:t>
      </w:r>
      <w:r w:rsidR="003F3D0F">
        <w:t>.</w:t>
      </w:r>
      <w:r>
        <w:t>”.</w:t>
      </w:r>
    </w:p>
    <w:p w:rsidR="00F84C82" w:rsidRPr="00D30EA9" w:rsidRDefault="002022A4" w:rsidP="00C82443">
      <w:pPr>
        <w:pStyle w:val="ARTartustawynprozporzdzenia"/>
        <w:spacing w:before="0"/>
      </w:pPr>
      <w:r>
        <w:t xml:space="preserve">W zakresie działania Państwowej Inspekcji Ochrony Roślin i Nasiennictwa przepisami rozporządzenia </w:t>
      </w:r>
      <w:r w:rsidR="003F3D0F">
        <w:t>delegowanego</w:t>
      </w:r>
      <w:r w:rsidRPr="002022A4">
        <w:t xml:space="preserve"> K</w:t>
      </w:r>
      <w:r>
        <w:t>omisji</w:t>
      </w:r>
      <w:r w:rsidRPr="002022A4">
        <w:t xml:space="preserve"> (UE) </w:t>
      </w:r>
      <w:r w:rsidRPr="00F84C82">
        <w:t>2018/631 z dnia 7 lutego 2018 r. uzupełniające</w:t>
      </w:r>
      <w:r w:rsidR="00856616">
        <w:t>go</w:t>
      </w:r>
      <w:r w:rsidRPr="00F84C82">
        <w:t xml:space="preserve"> rozporządzenie Parlamentu Europejskiego i Rady (UE) 2017/625 poprzez ustanowienie laboratoriów referencyjnych Unii Europejskiej ds. </w:t>
      </w:r>
      <w:proofErr w:type="spellStart"/>
      <w:r w:rsidRPr="00F84C82">
        <w:t>agrofagów</w:t>
      </w:r>
      <w:proofErr w:type="spellEnd"/>
      <w:r w:rsidRPr="00F84C82">
        <w:t xml:space="preserve"> roślin </w:t>
      </w:r>
      <w:r>
        <w:t xml:space="preserve">(Dz. Urz. UE </w:t>
      </w:r>
      <w:r w:rsidRPr="002022A4">
        <w:t xml:space="preserve">L </w:t>
      </w:r>
      <w:r w:rsidR="00F84C82">
        <w:t>105</w:t>
      </w:r>
      <w:r w:rsidRPr="002022A4">
        <w:t xml:space="preserve"> z </w:t>
      </w:r>
      <w:r w:rsidR="00F84C82">
        <w:t>25.</w:t>
      </w:r>
      <w:r w:rsidR="00D30EA9">
        <w:t>0</w:t>
      </w:r>
      <w:r w:rsidR="00F84C82">
        <w:t xml:space="preserve">4.2018, str. 1) </w:t>
      </w:r>
      <w:r w:rsidR="00D30EA9">
        <w:t xml:space="preserve">zostały </w:t>
      </w:r>
      <w:r w:rsidR="00F84C82">
        <w:t>ustanowione laboratoria urzędowe Unii Europejskiej „</w:t>
      </w:r>
      <w:r w:rsidR="00F84C82" w:rsidRPr="00D30EA9">
        <w:t xml:space="preserve">w odniesieniu do </w:t>
      </w:r>
      <w:proofErr w:type="spellStart"/>
      <w:r w:rsidR="00F84C82" w:rsidRPr="00D30EA9">
        <w:t>agrofagów</w:t>
      </w:r>
      <w:proofErr w:type="spellEnd"/>
      <w:r w:rsidR="00F84C82" w:rsidRPr="00D30EA9">
        <w:t xml:space="preserve"> kwarantannowych, o których mowa w art. 3 rozporządzenia (UE) 2016/2031 oraz w odniesieniu do </w:t>
      </w:r>
      <w:proofErr w:type="spellStart"/>
      <w:r w:rsidR="00F84C82" w:rsidRPr="00D30EA9">
        <w:t>agrofagów</w:t>
      </w:r>
      <w:proofErr w:type="spellEnd"/>
      <w:r w:rsidR="00F84C82" w:rsidRPr="00D30EA9">
        <w:t xml:space="preserve">, które nie są ujęte w wykazie </w:t>
      </w:r>
      <w:proofErr w:type="spellStart"/>
      <w:r w:rsidR="00F84C82" w:rsidRPr="00D30EA9">
        <w:t>agrofagów</w:t>
      </w:r>
      <w:proofErr w:type="spellEnd"/>
      <w:r w:rsidR="00F84C82" w:rsidRPr="00D30EA9">
        <w:t xml:space="preserve"> kwarantannowych dla Unii, lecz które mogą, zgodnie z art. 30 ust. 1 tego rozporządzenia, spełniać warunki ich umieszczenia w tym wykazie, na podstawie klasyfikacji określonej w</w:t>
      </w:r>
      <w:r w:rsidR="00B678AC">
        <w:t> </w:t>
      </w:r>
      <w:r w:rsidR="00F84C82" w:rsidRPr="00D30EA9">
        <w:t xml:space="preserve">dyrektywie 2000/29/WE: </w:t>
      </w:r>
    </w:p>
    <w:p w:rsidR="00F84C82" w:rsidRPr="00D30EA9" w:rsidRDefault="00F84C82" w:rsidP="00C82443">
      <w:pPr>
        <w:pStyle w:val="ARTartustawynprozporzdzenia"/>
        <w:spacing w:before="0"/>
        <w:ind w:firstLine="0"/>
      </w:pPr>
      <w:r w:rsidRPr="00D30EA9">
        <w:t>a)</w:t>
      </w:r>
      <w:r w:rsidRPr="00D30EA9">
        <w:tab/>
        <w:t>laboratorium referencyjne Unii Europejskiej ds. owadów i roztoczy;</w:t>
      </w:r>
    </w:p>
    <w:p w:rsidR="00F84C82" w:rsidRPr="00D30EA9" w:rsidRDefault="00F84C82" w:rsidP="00C82443">
      <w:pPr>
        <w:pStyle w:val="ARTartustawynprozporzdzenia"/>
        <w:spacing w:before="0"/>
        <w:ind w:firstLine="0"/>
      </w:pPr>
      <w:r w:rsidRPr="00D30EA9">
        <w:lastRenderedPageBreak/>
        <w:t>b)</w:t>
      </w:r>
      <w:r w:rsidRPr="00D30EA9">
        <w:tab/>
        <w:t>laboratorium referencyjne Unii Europejskiej ds. nicieni;</w:t>
      </w:r>
    </w:p>
    <w:p w:rsidR="00F84C82" w:rsidRPr="00D30EA9" w:rsidRDefault="00F84C82" w:rsidP="00C82443">
      <w:pPr>
        <w:pStyle w:val="ARTartustawynprozporzdzenia"/>
        <w:spacing w:before="0"/>
        <w:ind w:firstLine="0"/>
      </w:pPr>
      <w:r w:rsidRPr="00D30EA9">
        <w:t>c)</w:t>
      </w:r>
      <w:r w:rsidRPr="00D30EA9">
        <w:tab/>
        <w:t>laboratorium referencyjne Unii Europejskiej ds. bakterii;</w:t>
      </w:r>
    </w:p>
    <w:p w:rsidR="00F84C82" w:rsidRPr="00D30EA9" w:rsidRDefault="00F84C82" w:rsidP="00C82443">
      <w:pPr>
        <w:pStyle w:val="ARTartustawynprozporzdzenia"/>
        <w:spacing w:before="0"/>
        <w:ind w:firstLine="0"/>
      </w:pPr>
      <w:r w:rsidRPr="00D30EA9">
        <w:t>d)</w:t>
      </w:r>
      <w:r w:rsidRPr="00D30EA9">
        <w:tab/>
        <w:t xml:space="preserve">laboratorium referencyjne Unii Europejskiej ds. grzybów i </w:t>
      </w:r>
      <w:proofErr w:type="spellStart"/>
      <w:r w:rsidRPr="00D30EA9">
        <w:t>lęgniowców</w:t>
      </w:r>
      <w:proofErr w:type="spellEnd"/>
      <w:r w:rsidRPr="00D30EA9">
        <w:t>;</w:t>
      </w:r>
    </w:p>
    <w:p w:rsidR="00F84C82" w:rsidRDefault="00F84C82" w:rsidP="00C82443">
      <w:pPr>
        <w:pStyle w:val="ARTartustawynprozporzdzenia"/>
        <w:spacing w:before="0"/>
        <w:ind w:firstLine="0"/>
      </w:pPr>
      <w:r w:rsidRPr="00D30EA9">
        <w:t>e)</w:t>
      </w:r>
      <w:r w:rsidRPr="00D30EA9">
        <w:tab/>
        <w:t xml:space="preserve">laboratorium referencyjne Unii Europejskiej ds. wirusów, </w:t>
      </w:r>
      <w:proofErr w:type="spellStart"/>
      <w:r w:rsidRPr="00D30EA9">
        <w:t>wiroidów</w:t>
      </w:r>
      <w:proofErr w:type="spellEnd"/>
      <w:r w:rsidRPr="00D30EA9">
        <w:t xml:space="preserve"> i </w:t>
      </w:r>
      <w:proofErr w:type="spellStart"/>
      <w:r w:rsidRPr="00D30EA9">
        <w:t>fitoplazm</w:t>
      </w:r>
      <w:proofErr w:type="spellEnd"/>
      <w:r>
        <w:t>”.</w:t>
      </w:r>
    </w:p>
    <w:p w:rsidR="00F84C82" w:rsidRDefault="00F84C82" w:rsidP="00C82443">
      <w:pPr>
        <w:pStyle w:val="ARTartustawynprozporzdzenia"/>
        <w:spacing w:before="0"/>
      </w:pPr>
      <w:r>
        <w:t xml:space="preserve">Natomiast przepisami rozporządzenia </w:t>
      </w:r>
      <w:r w:rsidRPr="002022A4">
        <w:t>wykonawcze</w:t>
      </w:r>
      <w:r>
        <w:t>go</w:t>
      </w:r>
      <w:r w:rsidRPr="002022A4">
        <w:t xml:space="preserve"> K</w:t>
      </w:r>
      <w:r>
        <w:t>omisji</w:t>
      </w:r>
      <w:r w:rsidRPr="002022A4">
        <w:t xml:space="preserve"> (UE) 2019/530 z dnia 27</w:t>
      </w:r>
      <w:r w:rsidR="00366E36">
        <w:t> </w:t>
      </w:r>
      <w:r w:rsidRPr="002022A4">
        <w:t>marca 2019 r. wyznaczające</w:t>
      </w:r>
      <w:r>
        <w:t>go</w:t>
      </w:r>
      <w:r w:rsidRPr="002022A4">
        <w:t xml:space="preserve"> laboratoria referencyjne Unii Europejskiej ds. </w:t>
      </w:r>
      <w:proofErr w:type="spellStart"/>
      <w:r w:rsidRPr="002022A4">
        <w:t>agrofagów</w:t>
      </w:r>
      <w:proofErr w:type="spellEnd"/>
      <w:r w:rsidRPr="002022A4">
        <w:t xml:space="preserve"> roślin w odniesieniu do owadów i roztoczy, nicieni, bakterii, grzybów i </w:t>
      </w:r>
      <w:proofErr w:type="spellStart"/>
      <w:r w:rsidRPr="002022A4">
        <w:t>lęgniowców</w:t>
      </w:r>
      <w:proofErr w:type="spellEnd"/>
      <w:r w:rsidRPr="002022A4">
        <w:t xml:space="preserve"> oraz wirusów, </w:t>
      </w:r>
      <w:proofErr w:type="spellStart"/>
      <w:r w:rsidRPr="002022A4">
        <w:t>wiroidów</w:t>
      </w:r>
      <w:proofErr w:type="spellEnd"/>
      <w:r w:rsidRPr="002022A4">
        <w:t xml:space="preserve"> i </w:t>
      </w:r>
      <w:proofErr w:type="spellStart"/>
      <w:r w:rsidRPr="002022A4">
        <w:t>fitoplazm</w:t>
      </w:r>
      <w:proofErr w:type="spellEnd"/>
      <w:r>
        <w:t xml:space="preserve"> (Dz. Urz. UE </w:t>
      </w:r>
      <w:r w:rsidRPr="002022A4">
        <w:t>L 88 z 29.</w:t>
      </w:r>
      <w:r w:rsidR="00D30EA9">
        <w:t>0</w:t>
      </w:r>
      <w:r w:rsidRPr="002022A4">
        <w:t>3.2019, str. 19</w:t>
      </w:r>
      <w:r>
        <w:t xml:space="preserve">) </w:t>
      </w:r>
      <w:r w:rsidR="00D30EA9">
        <w:t xml:space="preserve">zostały </w:t>
      </w:r>
      <w:r>
        <w:t>wskazane laboratoria, pełniące rolę laboratoriów referencyjnych Unii Europejskiej w powyższym zakresie.</w:t>
      </w:r>
    </w:p>
    <w:p w:rsidR="002022A4" w:rsidRPr="00F84C82" w:rsidRDefault="00F84C82" w:rsidP="00C82443">
      <w:pPr>
        <w:pStyle w:val="ARTartustawynprozporzdzenia"/>
        <w:spacing w:before="0"/>
        <w:rPr>
          <w:i/>
        </w:rPr>
      </w:pPr>
      <w:r>
        <w:t>Tym samym konieczne jest wskazanie odpowiednich krajowych laboratoriów referencyjnych</w:t>
      </w:r>
      <w:r w:rsidR="00D30EA9">
        <w:t xml:space="preserve"> do wykonywania badań laboratoryjnych w wyżej wskazanym przedmiocie</w:t>
      </w:r>
      <w:r>
        <w:t>.</w:t>
      </w:r>
    </w:p>
    <w:p w:rsidR="002022A4" w:rsidRPr="00F84C82" w:rsidRDefault="00F84C82" w:rsidP="00C82443">
      <w:pPr>
        <w:pStyle w:val="ARTartustawynprozporzdzenia"/>
        <w:spacing w:before="0"/>
      </w:pPr>
      <w:r>
        <w:t xml:space="preserve">Proponuje się, aby rolę krajowego laboratorium referencyjnego w powyższym zakresie powierzyć </w:t>
      </w:r>
      <w:r w:rsidRPr="00856616">
        <w:t>Centralnemu Laboratorium Głównego Inspektoratu Ochrony Roślin i</w:t>
      </w:r>
      <w:r w:rsidR="00366E36">
        <w:t> </w:t>
      </w:r>
      <w:r w:rsidRPr="00856616">
        <w:t xml:space="preserve">Nasiennictwa, którego zakres działania już obecnie jest zbieżny z zadaniami krajowego laboratorium referencyjnego. </w:t>
      </w:r>
    </w:p>
    <w:p w:rsidR="008A254A" w:rsidRDefault="008A254A" w:rsidP="00C82443">
      <w:pPr>
        <w:pStyle w:val="USTustnpkodeksu"/>
      </w:pPr>
      <w:r>
        <w:t>Projektowane rozporządzenie nie zawiera przepisów technicznych i w związku z tym nie podlega notyfikacji w rozumieniu przepisów rozporządzenia Rady Ministrów z dnia 23</w:t>
      </w:r>
      <w:r w:rsidR="00B678AC">
        <w:t> </w:t>
      </w:r>
      <w:r>
        <w:t>grudnia 2002 r. w sprawie sposobu funkcjonowania krajowego systemu notyfikacji norm i</w:t>
      </w:r>
      <w:r w:rsidR="00B678AC">
        <w:t> </w:t>
      </w:r>
      <w:r>
        <w:t>aktów prawnych.</w:t>
      </w:r>
    </w:p>
    <w:p w:rsidR="008A254A" w:rsidRDefault="008A254A" w:rsidP="00C82443">
      <w:pPr>
        <w:pStyle w:val="USTustnpkodeksu"/>
      </w:pPr>
      <w:r>
        <w:t>Projekt rozporządzenia zosta</w:t>
      </w:r>
      <w:r w:rsidR="002F03B7">
        <w:t>ł</w:t>
      </w:r>
      <w:r>
        <w:t xml:space="preserve"> ujęty w wykazie prac legislacyjnych Ministra Rolnictwa i Rozwoju Wsi.</w:t>
      </w:r>
    </w:p>
    <w:p w:rsidR="0099226E" w:rsidRDefault="0099226E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478"/>
        <w:gridCol w:w="161"/>
        <w:gridCol w:w="422"/>
        <w:gridCol w:w="29"/>
        <w:gridCol w:w="602"/>
        <w:gridCol w:w="248"/>
        <w:gridCol w:w="342"/>
        <w:gridCol w:w="26"/>
        <w:gridCol w:w="349"/>
        <w:gridCol w:w="267"/>
        <w:gridCol w:w="159"/>
        <w:gridCol w:w="270"/>
        <w:gridCol w:w="159"/>
        <w:gridCol w:w="425"/>
        <w:gridCol w:w="211"/>
        <w:gridCol w:w="214"/>
        <w:gridCol w:w="422"/>
        <w:gridCol w:w="145"/>
        <w:gridCol w:w="542"/>
        <w:gridCol w:w="156"/>
        <w:gridCol w:w="582"/>
        <w:gridCol w:w="709"/>
        <w:gridCol w:w="567"/>
        <w:gridCol w:w="850"/>
      </w:tblGrid>
      <w:tr w:rsidR="0099226E" w:rsidRPr="00B678AC" w:rsidTr="003F660C">
        <w:trPr>
          <w:trHeight w:val="1611"/>
        </w:trPr>
        <w:tc>
          <w:tcPr>
            <w:tcW w:w="7059" w:type="dxa"/>
            <w:gridSpan w:val="20"/>
          </w:tcPr>
          <w:p w:rsidR="0099226E" w:rsidRPr="00B678AC" w:rsidRDefault="0099226E" w:rsidP="00AC6C9A">
            <w:pPr>
              <w:spacing w:before="120" w:line="240" w:lineRule="auto"/>
              <w:ind w:hanging="45"/>
              <w:rPr>
                <w:color w:val="000000"/>
                <w:sz w:val="22"/>
                <w:szCs w:val="22"/>
              </w:rPr>
            </w:pPr>
            <w:bookmarkStart w:id="1" w:name="t1"/>
            <w:r w:rsidRPr="00B678AC">
              <w:rPr>
                <w:b/>
                <w:color w:val="000000"/>
                <w:sz w:val="22"/>
                <w:szCs w:val="22"/>
              </w:rPr>
              <w:lastRenderedPageBreak/>
              <w:t>Nazwa projektu</w:t>
            </w:r>
          </w:p>
          <w:p w:rsidR="0099226E" w:rsidRPr="00B678AC" w:rsidRDefault="0099226E" w:rsidP="002022A4">
            <w:pPr>
              <w:spacing w:before="120" w:line="240" w:lineRule="auto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Projekt rozporządzenia Ministra Rolnictwa i Rozwoju Wsi </w:t>
            </w:r>
            <w:r w:rsidR="002022A4" w:rsidRPr="00B678AC">
              <w:rPr>
                <w:sz w:val="22"/>
                <w:szCs w:val="22"/>
              </w:rPr>
              <w:t>sprawie wykazu krajowych laboratoriów referencyjnych przeprowadzających badania na potrzeby Państwowej Inspekcji Ochrony Roślin i Nasiennictwa</w:t>
            </w:r>
          </w:p>
          <w:p w:rsidR="0099226E" w:rsidRPr="00B678AC" w:rsidRDefault="0099226E" w:rsidP="00AC6C9A">
            <w:pPr>
              <w:spacing w:before="120" w:line="240" w:lineRule="auto"/>
              <w:ind w:hanging="45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1"/>
          <w:p w:rsidR="0099226E" w:rsidRPr="00B678AC" w:rsidRDefault="0099226E" w:rsidP="00AC6C9A">
            <w:pPr>
              <w:spacing w:line="240" w:lineRule="auto"/>
              <w:ind w:hanging="34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Ministerstwo Rolnictwa i Rozwoju Wsi</w:t>
            </w:r>
          </w:p>
          <w:p w:rsidR="0099226E" w:rsidRPr="00B678AC" w:rsidRDefault="0099226E" w:rsidP="00AC6C9A">
            <w:pPr>
              <w:spacing w:line="240" w:lineRule="auto"/>
              <w:rPr>
                <w:b/>
                <w:sz w:val="22"/>
                <w:szCs w:val="22"/>
              </w:rPr>
            </w:pPr>
            <w:r w:rsidRPr="00B678AC">
              <w:rPr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:rsidR="0099226E" w:rsidRPr="00B678AC" w:rsidRDefault="004F089E" w:rsidP="00AC6C9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Białkowski</w:t>
            </w:r>
            <w:r w:rsidR="0099226E" w:rsidRPr="00B678AC">
              <w:rPr>
                <w:sz w:val="22"/>
                <w:szCs w:val="22"/>
              </w:rPr>
              <w:t>, Podsekretarz Stanu w Ministerstwie Rolnictwa i Rozwoju Wsi</w:t>
            </w:r>
          </w:p>
          <w:p w:rsidR="0099226E" w:rsidRPr="00B678AC" w:rsidRDefault="0099226E" w:rsidP="00AC6C9A">
            <w:pPr>
              <w:spacing w:before="120" w:line="240" w:lineRule="auto"/>
              <w:ind w:hanging="45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:rsidR="0099226E" w:rsidRPr="00B678AC" w:rsidRDefault="0099226E" w:rsidP="00AC6C9A">
            <w:pPr>
              <w:spacing w:line="240" w:lineRule="auto"/>
              <w:ind w:left="-34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Krzysztof </w:t>
            </w:r>
            <w:proofErr w:type="spellStart"/>
            <w:r w:rsidRPr="00B678AC">
              <w:rPr>
                <w:color w:val="000000"/>
                <w:sz w:val="22"/>
                <w:szCs w:val="22"/>
              </w:rPr>
              <w:t>Kielak</w:t>
            </w:r>
            <w:proofErr w:type="spellEnd"/>
            <w:r w:rsidRPr="00B678AC">
              <w:rPr>
                <w:color w:val="000000"/>
                <w:sz w:val="22"/>
                <w:szCs w:val="22"/>
              </w:rPr>
              <w:t xml:space="preserve"> Zastępca Dyrektora Departamentu </w:t>
            </w:r>
          </w:p>
          <w:p w:rsidR="0099226E" w:rsidRPr="00B678AC" w:rsidRDefault="0099226E" w:rsidP="00AC6C9A">
            <w:pPr>
              <w:spacing w:line="240" w:lineRule="auto"/>
              <w:ind w:left="-34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Hodowli i Ochrony Roślin</w:t>
            </w:r>
          </w:p>
          <w:p w:rsidR="0099226E" w:rsidRPr="00B678AC" w:rsidRDefault="0099226E" w:rsidP="00AC6C9A">
            <w:pPr>
              <w:spacing w:line="240" w:lineRule="auto"/>
              <w:ind w:left="-34"/>
              <w:rPr>
                <w:sz w:val="22"/>
                <w:szCs w:val="22"/>
                <w:lang w:val="de-DE"/>
              </w:rPr>
            </w:pPr>
            <w:r w:rsidRPr="00B678AC">
              <w:rPr>
                <w:sz w:val="22"/>
                <w:szCs w:val="22"/>
                <w:lang w:val="de-DE"/>
              </w:rPr>
              <w:t xml:space="preserve">tel.: 22 623 21 51, </w:t>
            </w:r>
            <w:proofErr w:type="spellStart"/>
            <w:r w:rsidRPr="00B678AC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B678AC">
              <w:rPr>
                <w:sz w:val="22"/>
                <w:szCs w:val="22"/>
                <w:lang w:val="de-DE"/>
              </w:rPr>
              <w:t xml:space="preserve"> </w:t>
            </w:r>
            <w:hyperlink r:id="rId9" w:history="1">
              <w:r w:rsidRPr="00B678AC">
                <w:rPr>
                  <w:rStyle w:val="Hipercze"/>
                  <w:sz w:val="22"/>
                  <w:szCs w:val="22"/>
                  <w:lang w:val="de-DE"/>
                </w:rPr>
                <w:t>krzysztof.kielak@minrol.gov.pl</w:t>
              </w:r>
            </w:hyperlink>
            <w:r w:rsidRPr="00B678AC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864" w:type="dxa"/>
            <w:gridSpan w:val="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b/>
                <w:sz w:val="22"/>
                <w:szCs w:val="22"/>
              </w:rPr>
            </w:pPr>
            <w:r w:rsidRPr="00B678AC">
              <w:rPr>
                <w:b/>
                <w:sz w:val="22"/>
                <w:szCs w:val="22"/>
              </w:rPr>
              <w:t>Data sporządzenia</w:t>
            </w:r>
            <w:r w:rsidRPr="00B678AC"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-345788683"/>
                <w:placeholder>
                  <w:docPart w:val="B1CC52AB30C64F89BFAD06B94488E6C3"/>
                </w:placeholder>
                <w:date w:fullDate="2020-01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C7324">
                  <w:rPr>
                    <w:b/>
                    <w:sz w:val="22"/>
                    <w:szCs w:val="22"/>
                  </w:rPr>
                  <w:t>28.01.2020</w:t>
                </w:r>
              </w:sdtContent>
            </w:sdt>
          </w:p>
          <w:p w:rsidR="0099226E" w:rsidRPr="00B678AC" w:rsidRDefault="0099226E" w:rsidP="00AC6C9A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99226E" w:rsidRPr="00B678AC" w:rsidRDefault="0099226E" w:rsidP="00AC6C9A">
            <w:pPr>
              <w:spacing w:line="240" w:lineRule="auto"/>
              <w:rPr>
                <w:b/>
                <w:sz w:val="22"/>
                <w:szCs w:val="22"/>
              </w:rPr>
            </w:pPr>
            <w:r w:rsidRPr="00B678AC">
              <w:rPr>
                <w:b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:rsidR="0099226E" w:rsidRPr="00B678AC" w:rsidRDefault="0099226E" w:rsidP="00AC6C9A">
            <w:pPr>
              <w:spacing w:line="240" w:lineRule="auto"/>
              <w:ind w:left="66"/>
              <w:jc w:val="both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Art. </w:t>
            </w:r>
            <w:r w:rsidR="002022A4" w:rsidRPr="00B678AC">
              <w:rPr>
                <w:sz w:val="22"/>
                <w:szCs w:val="22"/>
              </w:rPr>
              <w:t>3</w:t>
            </w:r>
            <w:r w:rsidR="00B678AC" w:rsidRPr="00B678AC">
              <w:rPr>
                <w:sz w:val="22"/>
                <w:szCs w:val="22"/>
              </w:rPr>
              <w:t>6</w:t>
            </w:r>
            <w:r w:rsidR="002022A4" w:rsidRPr="00B678AC">
              <w:rPr>
                <w:sz w:val="22"/>
                <w:szCs w:val="22"/>
              </w:rPr>
              <w:t xml:space="preserve"> ust. 1</w:t>
            </w:r>
            <w:r w:rsidR="00AC6C9A" w:rsidRPr="00B678AC">
              <w:rPr>
                <w:sz w:val="22"/>
                <w:szCs w:val="22"/>
              </w:rPr>
              <w:t xml:space="preserve"> ustawy z dnia </w:t>
            </w:r>
            <w:r w:rsidR="00BD3D56">
              <w:rPr>
                <w:sz w:val="22"/>
                <w:szCs w:val="22"/>
              </w:rPr>
              <w:t xml:space="preserve">23 stycznia 2020 r. </w:t>
            </w:r>
            <w:r w:rsidR="00AC6C9A" w:rsidRPr="00B678AC">
              <w:rPr>
                <w:sz w:val="22"/>
                <w:szCs w:val="22"/>
              </w:rPr>
              <w:t>o Państwowej Inspekcji Ochrony Roślin i Nasiennictwa (Dz. U. poz. …)</w:t>
            </w:r>
          </w:p>
          <w:p w:rsidR="0099226E" w:rsidRPr="00B678AC" w:rsidRDefault="0099226E" w:rsidP="00AC6C9A">
            <w:pPr>
              <w:spacing w:before="120" w:line="240" w:lineRule="auto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 xml:space="preserve">Nr w wykazie prac </w:t>
            </w:r>
          </w:p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AC6C9A">
            <w:pPr>
              <w:spacing w:line="240" w:lineRule="auto"/>
              <w:ind w:left="57"/>
              <w:jc w:val="center"/>
              <w:rPr>
                <w:b/>
                <w:color w:val="FFFFFF"/>
                <w:sz w:val="22"/>
                <w:szCs w:val="22"/>
              </w:rPr>
            </w:pPr>
            <w:r w:rsidRPr="00B678AC">
              <w:rPr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99226E" w:rsidRPr="00B678AC" w:rsidTr="00AC6C9A">
        <w:trPr>
          <w:trHeight w:val="333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F84C82">
            <w:pPr>
              <w:pStyle w:val="ARTartustawynprozporzdzenia"/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Ustawa </w:t>
            </w:r>
            <w:r w:rsidRPr="00B678AC">
              <w:rPr>
                <w:sz w:val="22"/>
                <w:szCs w:val="22"/>
              </w:rPr>
              <w:t xml:space="preserve">o Państwowej Inspekcji Ochrony Roślin i Nasiennictwa </w:t>
            </w:r>
            <w:r w:rsidRPr="00B678AC">
              <w:rPr>
                <w:color w:val="000000"/>
                <w:sz w:val="22"/>
                <w:szCs w:val="22"/>
              </w:rPr>
              <w:t>wprowadza do polskiego porządku prawnego przepisy:</w:t>
            </w:r>
          </w:p>
          <w:p w:rsidR="0099226E" w:rsidRPr="00B678AC" w:rsidRDefault="0099226E" w:rsidP="00F84C82">
            <w:pPr>
              <w:spacing w:line="240" w:lineRule="auto"/>
              <w:ind w:left="426" w:hanging="426"/>
              <w:jc w:val="both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1)</w:t>
            </w:r>
            <w:r w:rsidRPr="00B678AC">
              <w:rPr>
                <w:sz w:val="22"/>
                <w:szCs w:val="22"/>
              </w:rPr>
              <w:tab/>
              <w:t xml:space="preserve">rozporządzenia Parlamentu Europejskiego i Rady (WE) nr 2016/2031 z dnia 26 października 2016 r. </w:t>
            </w:r>
            <w:r w:rsidRPr="00B678AC">
              <w:rPr>
                <w:i/>
                <w:sz w:val="22"/>
                <w:szCs w:val="22"/>
              </w:rPr>
              <w:t xml:space="preserve">w sprawie środków ochronnych przeciwko </w:t>
            </w:r>
            <w:proofErr w:type="spellStart"/>
            <w:r w:rsidRPr="00B678AC">
              <w:rPr>
                <w:i/>
                <w:sz w:val="22"/>
                <w:szCs w:val="22"/>
              </w:rPr>
              <w:t>agrofagom</w:t>
            </w:r>
            <w:proofErr w:type="spellEnd"/>
            <w:r w:rsidRPr="00B678AC">
              <w:rPr>
                <w:i/>
                <w:sz w:val="22"/>
                <w:szCs w:val="22"/>
              </w:rPr>
              <w:t xml:space="preserve"> roślin, zmieniającego rozporządzenia Parlamentu Europejskiego i Rady (UE) nr 228/2013, (UE) nr 652/2014 i (UE) nr 1143/2014 oraz uchylającego dyrektywy Rady 69/464/EWG, 74/647/EWG, 93/85/EWG, 98/57/WE, 2000/29/WE, 2006/91/WE i 2007/33/WE</w:t>
            </w:r>
            <w:r w:rsidRPr="00B678AC">
              <w:rPr>
                <w:sz w:val="22"/>
                <w:szCs w:val="22"/>
              </w:rPr>
              <w:t xml:space="preserve"> (Dz. Urz. UE L 317 z 23.11.2016, str. 4), zwanego dalej „rozporządzeniem 2016/2031”,</w:t>
            </w:r>
          </w:p>
          <w:p w:rsidR="0099226E" w:rsidRPr="00B678AC" w:rsidRDefault="0099226E" w:rsidP="00F84C82">
            <w:pPr>
              <w:spacing w:line="240" w:lineRule="auto"/>
              <w:ind w:left="426" w:hanging="426"/>
              <w:jc w:val="both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2)</w:t>
            </w:r>
            <w:r w:rsidRPr="00B678AC">
              <w:rPr>
                <w:sz w:val="22"/>
                <w:szCs w:val="22"/>
              </w:rPr>
              <w:tab/>
              <w:t xml:space="preserve">rozporządzenia Parlamentu Europejskiego i Rady (UE) nr 2017/625 z dnia 15 marca 2017 r. </w:t>
            </w:r>
            <w:r w:rsidRPr="00B678AC">
              <w:rPr>
                <w:i/>
                <w:sz w:val="22"/>
                <w:szCs w:val="22"/>
              </w:rPr>
              <w:t>w sprawie kontroli urzędowych i innych czynności urzędowych przeprowadzanych w celu zapewnienia stosowania prawa żywnościowego i paszowego oraz zasad dotyczących zdrowia i dobrostanu zwierząt, zdrowia roślin i środków ochrony roślin, zmieniającego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 74/WE, 2007/43/WE, 2008/119/WE i 2008/120/WE, oraz uchylającego rozporządzenia Parlamentu Europejskiego i Rady (WE) nr 854/2004 i (WE) nr 882/2004, dyrektywy Rady 89/608/EWG, 89/662/ EWG, 90/425/EWG, 91/496/EWG, 96/23/WE, 96/93/WE i 97/78/WE oraz decyzję Rady 92/438/EWG (rozporządzenie w sprawie kontroli urzędowych)</w:t>
            </w:r>
            <w:r w:rsidRPr="00B678AC">
              <w:rPr>
                <w:sz w:val="22"/>
                <w:szCs w:val="22"/>
              </w:rPr>
              <w:t xml:space="preserve"> (Dz. Urz. UE L 95 z 7.4.2017, str. 1), zwanego dalej „rozporządzeniem 2017/625”.</w:t>
            </w:r>
          </w:p>
          <w:p w:rsidR="0099226E" w:rsidRPr="00B678AC" w:rsidRDefault="0099226E" w:rsidP="00F84C82">
            <w:pPr>
              <w:pStyle w:val="ARTartustawynprozporzdzenia"/>
              <w:spacing w:line="240" w:lineRule="auto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Ustawa ta zastępuje częściowo ustawę z dnia 18 grudnia 2003 r. </w:t>
            </w:r>
            <w:r w:rsidRPr="00B678AC">
              <w:rPr>
                <w:i/>
                <w:sz w:val="22"/>
                <w:szCs w:val="22"/>
              </w:rPr>
              <w:t>o ochronie roślin</w:t>
            </w:r>
            <w:r w:rsidRPr="00B678AC">
              <w:rPr>
                <w:sz w:val="22"/>
                <w:szCs w:val="22"/>
              </w:rPr>
              <w:t xml:space="preserve"> (Dz. U. z</w:t>
            </w:r>
            <w:r w:rsidR="00B678AC" w:rsidRPr="00B678AC">
              <w:rPr>
                <w:sz w:val="22"/>
                <w:szCs w:val="22"/>
              </w:rPr>
              <w:t> </w:t>
            </w:r>
            <w:r w:rsidRPr="00B678AC">
              <w:rPr>
                <w:sz w:val="22"/>
                <w:szCs w:val="22"/>
              </w:rPr>
              <w:t xml:space="preserve">2017 r. poz. 2138, z </w:t>
            </w:r>
            <w:proofErr w:type="spellStart"/>
            <w:r w:rsidRPr="00B678AC">
              <w:rPr>
                <w:sz w:val="22"/>
                <w:szCs w:val="22"/>
              </w:rPr>
              <w:t>późn</w:t>
            </w:r>
            <w:proofErr w:type="spellEnd"/>
            <w:r w:rsidRPr="00B678AC">
              <w:rPr>
                <w:sz w:val="22"/>
                <w:szCs w:val="22"/>
              </w:rPr>
              <w:t xml:space="preserve">. zm.). Organizacja oraz zasady funkcjonowania Państwowej Inspekcji Ochrony Roślin i Nasiennictwa, określone wcześniej ustawą z dnia 18 grudnia 2003 r. </w:t>
            </w:r>
            <w:r w:rsidRPr="00B678AC">
              <w:rPr>
                <w:i/>
                <w:sz w:val="22"/>
                <w:szCs w:val="22"/>
              </w:rPr>
              <w:t>o ochronie roślin</w:t>
            </w:r>
            <w:r w:rsidRPr="00B678AC">
              <w:rPr>
                <w:sz w:val="22"/>
                <w:szCs w:val="22"/>
              </w:rPr>
              <w:t xml:space="preserve">, zostały zatem uregulowane przez ustawę z dnia </w:t>
            </w:r>
            <w:r w:rsidR="00BD3D56">
              <w:rPr>
                <w:sz w:val="22"/>
                <w:szCs w:val="22"/>
              </w:rPr>
              <w:t>23 stycznia 2020 r.</w:t>
            </w:r>
            <w:r w:rsidR="003C7324">
              <w:rPr>
                <w:sz w:val="22"/>
                <w:szCs w:val="22"/>
              </w:rPr>
              <w:t xml:space="preserve"> </w:t>
            </w:r>
            <w:r w:rsidRPr="00B678AC">
              <w:rPr>
                <w:sz w:val="22"/>
                <w:szCs w:val="22"/>
              </w:rPr>
              <w:t>o Państwowej Inspekcji Ochrony Roślin i</w:t>
            </w:r>
            <w:r w:rsidR="00B678AC" w:rsidRPr="00B678AC">
              <w:rPr>
                <w:sz w:val="22"/>
                <w:szCs w:val="22"/>
              </w:rPr>
              <w:t> </w:t>
            </w:r>
            <w:r w:rsidRPr="00B678AC">
              <w:rPr>
                <w:sz w:val="22"/>
                <w:szCs w:val="22"/>
              </w:rPr>
              <w:t xml:space="preserve">Nasiennictwa. 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Przepisy art. 100 ust. 1 rozporządzenia 2017/625 stanowią, że:</w:t>
            </w:r>
            <w:r w:rsidR="00B678AC" w:rsidRPr="00B678AC">
              <w:rPr>
                <w:sz w:val="22"/>
                <w:szCs w:val="22"/>
              </w:rPr>
              <w:t xml:space="preserve"> </w:t>
            </w:r>
            <w:r w:rsidRPr="00B678AC">
              <w:rPr>
                <w:sz w:val="22"/>
                <w:szCs w:val="22"/>
              </w:rPr>
              <w:t>„Państwa członkowskie wyznaczają co najmniej jedno krajowe laboratorium referencyjne dla każdego laboratorium referencyjnego Unii Europejskiej wyznaczonego zgodnie z art. 93 ust. 1”.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i/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W zakresie działania Państwowej Inspekcji Ochrony Roślin i Nasiennictwa przepisami rozporządzenia wykonawczego Komisji (UE) 2018/631 z dnia 7 lutego 2018 r. uzupełniające</w:t>
            </w:r>
            <w:r w:rsidR="00856616" w:rsidRPr="00B678AC">
              <w:rPr>
                <w:sz w:val="22"/>
                <w:szCs w:val="22"/>
              </w:rPr>
              <w:t>go</w:t>
            </w:r>
            <w:r w:rsidRPr="00B678AC">
              <w:rPr>
                <w:sz w:val="22"/>
                <w:szCs w:val="22"/>
              </w:rPr>
              <w:t xml:space="preserve"> rozporządzenie Parlamentu Europejskiego i Rady (UE) 2017/625 poprzez ustanowienie laboratoriów referencyjnych Unii Europejskiej ds. </w:t>
            </w:r>
            <w:proofErr w:type="spellStart"/>
            <w:r w:rsidRPr="00B678AC">
              <w:rPr>
                <w:sz w:val="22"/>
                <w:szCs w:val="22"/>
              </w:rPr>
              <w:t>agrofagów</w:t>
            </w:r>
            <w:proofErr w:type="spellEnd"/>
            <w:r w:rsidRPr="00B678AC">
              <w:rPr>
                <w:sz w:val="22"/>
                <w:szCs w:val="22"/>
              </w:rPr>
              <w:t xml:space="preserve"> roślin (Dz. Urz. UE L 105 z 25.4.2018, str. 1) ustanowione zostały laboratoria urzędowe Unii Europejskiej „</w:t>
            </w:r>
            <w:r w:rsidRPr="00B678AC">
              <w:rPr>
                <w:i/>
                <w:sz w:val="22"/>
                <w:szCs w:val="22"/>
              </w:rPr>
              <w:t xml:space="preserve">w odniesieniu do </w:t>
            </w:r>
            <w:proofErr w:type="spellStart"/>
            <w:r w:rsidRPr="00B678AC">
              <w:rPr>
                <w:i/>
                <w:sz w:val="22"/>
                <w:szCs w:val="22"/>
              </w:rPr>
              <w:t>agrofagów</w:t>
            </w:r>
            <w:proofErr w:type="spellEnd"/>
            <w:r w:rsidRPr="00B678AC">
              <w:rPr>
                <w:i/>
                <w:sz w:val="22"/>
                <w:szCs w:val="22"/>
              </w:rPr>
              <w:t xml:space="preserve"> kwarantannowych, o których mowa w art. 3 rozporządzenia (UE) 2016/2031 oraz w odniesieniu do </w:t>
            </w:r>
            <w:proofErr w:type="spellStart"/>
            <w:r w:rsidRPr="00B678AC">
              <w:rPr>
                <w:i/>
                <w:sz w:val="22"/>
                <w:szCs w:val="22"/>
              </w:rPr>
              <w:t>agrofagów</w:t>
            </w:r>
            <w:proofErr w:type="spellEnd"/>
            <w:r w:rsidRPr="00B678AC">
              <w:rPr>
                <w:i/>
                <w:sz w:val="22"/>
                <w:szCs w:val="22"/>
              </w:rPr>
              <w:t xml:space="preserve">, które nie są ujęte w wykazie </w:t>
            </w:r>
            <w:proofErr w:type="spellStart"/>
            <w:r w:rsidRPr="00B678AC">
              <w:rPr>
                <w:i/>
                <w:sz w:val="22"/>
                <w:szCs w:val="22"/>
              </w:rPr>
              <w:t>agrofagów</w:t>
            </w:r>
            <w:proofErr w:type="spellEnd"/>
            <w:r w:rsidRPr="00B678AC">
              <w:rPr>
                <w:i/>
                <w:sz w:val="22"/>
                <w:szCs w:val="22"/>
              </w:rPr>
              <w:t xml:space="preserve"> kwarantannowych dla Unii, lecz które mogą, zgodnie z art. 30 ust. 1 tego rozporządzenia, spełniać warunki ich umieszczenia w tym wykazie, na podstawie klasyfikacji określonej w dyrektywie 2000/29/WE: 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i/>
                <w:sz w:val="22"/>
                <w:szCs w:val="22"/>
              </w:rPr>
            </w:pPr>
            <w:r w:rsidRPr="00B678AC">
              <w:rPr>
                <w:i/>
                <w:sz w:val="22"/>
                <w:szCs w:val="22"/>
              </w:rPr>
              <w:t>a)</w:t>
            </w:r>
            <w:r w:rsidRPr="00B678AC">
              <w:rPr>
                <w:i/>
                <w:sz w:val="22"/>
                <w:szCs w:val="22"/>
              </w:rPr>
              <w:tab/>
              <w:t>laboratorium referencyjne Unii Europejskiej ds. owadów i roztoczy;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i/>
                <w:sz w:val="22"/>
                <w:szCs w:val="22"/>
              </w:rPr>
            </w:pPr>
            <w:r w:rsidRPr="00B678AC">
              <w:rPr>
                <w:i/>
                <w:sz w:val="22"/>
                <w:szCs w:val="22"/>
              </w:rPr>
              <w:t>b)</w:t>
            </w:r>
            <w:r w:rsidRPr="00B678AC">
              <w:rPr>
                <w:i/>
                <w:sz w:val="22"/>
                <w:szCs w:val="22"/>
              </w:rPr>
              <w:tab/>
              <w:t>laboratorium referencyjne Unii Europejskiej ds. nicieni;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i/>
                <w:sz w:val="22"/>
                <w:szCs w:val="22"/>
              </w:rPr>
            </w:pPr>
            <w:r w:rsidRPr="00B678AC">
              <w:rPr>
                <w:i/>
                <w:sz w:val="22"/>
                <w:szCs w:val="22"/>
              </w:rPr>
              <w:t>c)</w:t>
            </w:r>
            <w:r w:rsidRPr="00B678AC">
              <w:rPr>
                <w:i/>
                <w:sz w:val="22"/>
                <w:szCs w:val="22"/>
              </w:rPr>
              <w:tab/>
              <w:t>laboratorium referencyjne Unii Europejskiej ds. bakterii;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i/>
                <w:sz w:val="22"/>
                <w:szCs w:val="22"/>
              </w:rPr>
            </w:pPr>
            <w:r w:rsidRPr="00B678AC">
              <w:rPr>
                <w:i/>
                <w:sz w:val="22"/>
                <w:szCs w:val="22"/>
              </w:rPr>
              <w:lastRenderedPageBreak/>
              <w:t>d)</w:t>
            </w:r>
            <w:r w:rsidRPr="00B678AC">
              <w:rPr>
                <w:i/>
                <w:sz w:val="22"/>
                <w:szCs w:val="22"/>
              </w:rPr>
              <w:tab/>
              <w:t xml:space="preserve">laboratorium referencyjne Unii Europejskiej ds. grzybów i </w:t>
            </w:r>
            <w:proofErr w:type="spellStart"/>
            <w:r w:rsidRPr="00B678AC">
              <w:rPr>
                <w:i/>
                <w:sz w:val="22"/>
                <w:szCs w:val="22"/>
              </w:rPr>
              <w:t>lęgniowców</w:t>
            </w:r>
            <w:proofErr w:type="spellEnd"/>
            <w:r w:rsidRPr="00B678AC">
              <w:rPr>
                <w:i/>
                <w:sz w:val="22"/>
                <w:szCs w:val="22"/>
              </w:rPr>
              <w:t>;</w:t>
            </w:r>
          </w:p>
          <w:p w:rsidR="00F84C82" w:rsidRPr="00B678AC" w:rsidRDefault="00F84C82" w:rsidP="00B678AC">
            <w:pPr>
              <w:pStyle w:val="ARTartustawynprozporzdzenia"/>
              <w:spacing w:before="0" w:line="240" w:lineRule="auto"/>
              <w:rPr>
                <w:sz w:val="22"/>
                <w:szCs w:val="22"/>
              </w:rPr>
            </w:pPr>
            <w:r w:rsidRPr="00B678AC">
              <w:rPr>
                <w:i/>
                <w:sz w:val="22"/>
                <w:szCs w:val="22"/>
              </w:rPr>
              <w:t>e)</w:t>
            </w:r>
            <w:r w:rsidRPr="00B678AC">
              <w:rPr>
                <w:i/>
                <w:sz w:val="22"/>
                <w:szCs w:val="22"/>
              </w:rPr>
              <w:tab/>
              <w:t xml:space="preserve">laboratorium referencyjne Unii Europejskiej ds. wirusów, </w:t>
            </w:r>
            <w:proofErr w:type="spellStart"/>
            <w:r w:rsidRPr="00B678AC">
              <w:rPr>
                <w:i/>
                <w:sz w:val="22"/>
                <w:szCs w:val="22"/>
              </w:rPr>
              <w:t>wiroidów</w:t>
            </w:r>
            <w:proofErr w:type="spellEnd"/>
            <w:r w:rsidRPr="00B678AC">
              <w:rPr>
                <w:i/>
                <w:sz w:val="22"/>
                <w:szCs w:val="22"/>
              </w:rPr>
              <w:t xml:space="preserve"> i </w:t>
            </w:r>
            <w:proofErr w:type="spellStart"/>
            <w:r w:rsidRPr="00B678AC">
              <w:rPr>
                <w:i/>
                <w:sz w:val="22"/>
                <w:szCs w:val="22"/>
              </w:rPr>
              <w:t>fitoplazm</w:t>
            </w:r>
            <w:proofErr w:type="spellEnd"/>
            <w:r w:rsidRPr="00B678AC">
              <w:rPr>
                <w:sz w:val="22"/>
                <w:szCs w:val="22"/>
              </w:rPr>
              <w:t>”.</w:t>
            </w:r>
          </w:p>
          <w:p w:rsidR="00F84C82" w:rsidRPr="00B678AC" w:rsidRDefault="00F84C82" w:rsidP="00F84C82">
            <w:pPr>
              <w:pStyle w:val="ARTartustawynprozporzdzenia"/>
              <w:spacing w:before="0" w:line="240" w:lineRule="auto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Natomiast przepisami rozporządzenia wykonawczego Komisji (UE) 2019/530 z dnia 27 marca 2019 r. wyznaczającego laboratoria referencyjne Unii Europejskiej ds. </w:t>
            </w:r>
            <w:proofErr w:type="spellStart"/>
            <w:r w:rsidRPr="00B678AC">
              <w:rPr>
                <w:sz w:val="22"/>
                <w:szCs w:val="22"/>
              </w:rPr>
              <w:t>agrofagów</w:t>
            </w:r>
            <w:proofErr w:type="spellEnd"/>
            <w:r w:rsidRPr="00B678AC">
              <w:rPr>
                <w:sz w:val="22"/>
                <w:szCs w:val="22"/>
              </w:rPr>
              <w:t xml:space="preserve"> roślin w odniesieniu do owadów i roztoczy, nicieni, bakterii, grzybów i </w:t>
            </w:r>
            <w:proofErr w:type="spellStart"/>
            <w:r w:rsidRPr="00B678AC">
              <w:rPr>
                <w:sz w:val="22"/>
                <w:szCs w:val="22"/>
              </w:rPr>
              <w:t>lęgniowców</w:t>
            </w:r>
            <w:proofErr w:type="spellEnd"/>
            <w:r w:rsidRPr="00B678AC">
              <w:rPr>
                <w:sz w:val="22"/>
                <w:szCs w:val="22"/>
              </w:rPr>
              <w:t xml:space="preserve"> oraz wirusów, </w:t>
            </w:r>
            <w:proofErr w:type="spellStart"/>
            <w:r w:rsidRPr="00B678AC">
              <w:rPr>
                <w:sz w:val="22"/>
                <w:szCs w:val="22"/>
              </w:rPr>
              <w:t>wiroidów</w:t>
            </w:r>
            <w:proofErr w:type="spellEnd"/>
            <w:r w:rsidRPr="00B678AC">
              <w:rPr>
                <w:sz w:val="22"/>
                <w:szCs w:val="22"/>
              </w:rPr>
              <w:t xml:space="preserve"> i </w:t>
            </w:r>
            <w:proofErr w:type="spellStart"/>
            <w:r w:rsidRPr="00B678AC">
              <w:rPr>
                <w:sz w:val="22"/>
                <w:szCs w:val="22"/>
              </w:rPr>
              <w:t>fitoplazm</w:t>
            </w:r>
            <w:proofErr w:type="spellEnd"/>
            <w:r w:rsidRPr="00B678AC">
              <w:rPr>
                <w:sz w:val="22"/>
                <w:szCs w:val="22"/>
              </w:rPr>
              <w:t xml:space="preserve"> (Dz. Urz. UE L 88 z 29.3.2019, str. 19) wskazane zostały laboratoria, pełniące rolę laboratoriów referencyjnych Unii Europejskiej w powyższym zakresie.</w:t>
            </w:r>
          </w:p>
          <w:p w:rsidR="0099226E" w:rsidRPr="00B678AC" w:rsidRDefault="00F84C82" w:rsidP="00B678AC">
            <w:pPr>
              <w:pStyle w:val="ARTartustawynprozporzdzenia"/>
              <w:spacing w:before="0" w:line="240" w:lineRule="auto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Tym samym konieczne jest wskazanie odpowiednich krajowych laboratoriów referencyjnych.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F84C8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auto"/>
          </w:tcPr>
          <w:p w:rsidR="0099226E" w:rsidRPr="00B678AC" w:rsidRDefault="00F84C82" w:rsidP="002F03B7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Proponuje się, aby rolę krajowego laboratorium referencyjnego w powyższym zakresie powierzyć Centralnemu Laboratorium Głównego Inspektoratu Ochrony Roślin i Nasiennictwa, którego zakres działania już obecnie jest zbieżny z zadaniami krajowego laboratorium referencyjnego.</w:t>
            </w:r>
          </w:p>
        </w:tc>
      </w:tr>
      <w:tr w:rsidR="0099226E" w:rsidRPr="00B678AC" w:rsidTr="00AC6C9A">
        <w:trPr>
          <w:trHeight w:val="307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B678AC">
              <w:rPr>
                <w:b/>
                <w:color w:val="000000"/>
                <w:sz w:val="22"/>
                <w:szCs w:val="22"/>
              </w:rPr>
              <w:t>?</w:t>
            </w:r>
            <w:r w:rsidRPr="00B678AC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auto"/>
          </w:tcPr>
          <w:p w:rsidR="0099226E" w:rsidRPr="00B678AC" w:rsidRDefault="00F84C82" w:rsidP="00AC6C9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Obowiązek wyznaczenia krajowych laboratoriów referencyjnych ciąży na wszystkich państwach członkowskich Unii Europejskiej. </w:t>
            </w:r>
          </w:p>
        </w:tc>
      </w:tr>
      <w:tr w:rsidR="0099226E" w:rsidRPr="00B678AC" w:rsidTr="00AC6C9A">
        <w:trPr>
          <w:trHeight w:val="359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99226E" w:rsidRPr="00B678AC" w:rsidTr="003F660C">
        <w:trPr>
          <w:trHeight w:val="142"/>
        </w:trPr>
        <w:tc>
          <w:tcPr>
            <w:tcW w:w="2649" w:type="dxa"/>
            <w:gridSpan w:val="4"/>
            <w:shd w:val="clear" w:color="auto" w:fill="auto"/>
          </w:tcPr>
          <w:p w:rsidR="0099226E" w:rsidRPr="00B678AC" w:rsidRDefault="0099226E" w:rsidP="00AC6C9A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:rsidR="0099226E" w:rsidRPr="00B678AC" w:rsidRDefault="0099226E" w:rsidP="00AC6C9A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1009" w:type="dxa"/>
            <w:gridSpan w:val="4"/>
            <w:shd w:val="clear" w:color="auto" w:fill="auto"/>
          </w:tcPr>
          <w:p w:rsidR="0099226E" w:rsidRPr="00B678AC" w:rsidRDefault="0099226E" w:rsidP="00AC6C9A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Źródło danych</w:t>
            </w:r>
            <w:r w:rsidRPr="00B678AC" w:rsidDel="00260F3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973" w:type="dxa"/>
            <w:gridSpan w:val="8"/>
            <w:shd w:val="clear" w:color="auto" w:fill="auto"/>
          </w:tcPr>
          <w:p w:rsidR="0099226E" w:rsidRPr="00B678AC" w:rsidRDefault="0099226E" w:rsidP="00AC6C9A">
            <w:pPr>
              <w:spacing w:before="40"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9226E" w:rsidRPr="00B678AC" w:rsidTr="003F660C">
        <w:trPr>
          <w:trHeight w:val="142"/>
        </w:trPr>
        <w:tc>
          <w:tcPr>
            <w:tcW w:w="2649" w:type="dxa"/>
            <w:gridSpan w:val="4"/>
            <w:shd w:val="clear" w:color="auto" w:fill="auto"/>
          </w:tcPr>
          <w:p w:rsidR="0099226E" w:rsidRPr="00B678AC" w:rsidRDefault="00F84C82" w:rsidP="00F84C82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 xml:space="preserve">Centralne Laboratorium Głównego Inspektoratu Ochrony Roślin i Nasiennictwa </w:t>
            </w:r>
          </w:p>
        </w:tc>
        <w:tc>
          <w:tcPr>
            <w:tcW w:w="2292" w:type="dxa"/>
            <w:gridSpan w:val="9"/>
            <w:shd w:val="clear" w:color="auto" w:fill="auto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shd w:val="clear" w:color="auto" w:fill="auto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973" w:type="dxa"/>
            <w:gridSpan w:val="8"/>
            <w:shd w:val="clear" w:color="auto" w:fill="auto"/>
          </w:tcPr>
          <w:p w:rsidR="0099226E" w:rsidRPr="00B678AC" w:rsidRDefault="00F84C82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Wykonywanie funkcji krajowego laboratorium referencyjnego do spraw zdrowia roślin. </w:t>
            </w:r>
          </w:p>
        </w:tc>
      </w:tr>
      <w:tr w:rsidR="0099226E" w:rsidRPr="00B678AC" w:rsidTr="00AC6C9A">
        <w:trPr>
          <w:trHeight w:val="302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99226E" w:rsidRPr="00B678AC" w:rsidTr="00AC6C9A">
        <w:trPr>
          <w:trHeight w:val="342"/>
        </w:trPr>
        <w:tc>
          <w:tcPr>
            <w:tcW w:w="9923" w:type="dxa"/>
            <w:gridSpan w:val="25"/>
            <w:shd w:val="clear" w:color="auto" w:fill="FFFFFF"/>
          </w:tcPr>
          <w:p w:rsidR="00D8283B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Projekt rozporządzenia zostanie przesłany do konsultacji publicznych, uzgodnień i opiniowania stosownie do postanowień uchwały Nr 190 Rady Ministrów z dnia 29 października 2013 r. – Regulamin pracy Rady Ministrów (M.P. z 2016 r. poz. 1006, z </w:t>
            </w:r>
            <w:proofErr w:type="spellStart"/>
            <w:r w:rsidRPr="00B678AC">
              <w:rPr>
                <w:color w:val="000000"/>
                <w:spacing w:val="-2"/>
                <w:sz w:val="22"/>
                <w:szCs w:val="22"/>
              </w:rPr>
              <w:t>późn</w:t>
            </w:r>
            <w:proofErr w:type="spellEnd"/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. zm.). Projekt rozporządzenia zostanie skonsultowany z organizacjami społeczno-zawodowymi hodowców roślin i instytucjami działającymi w obszarze regulowanym ustawą, między innymi z: </w:t>
            </w:r>
            <w:r w:rsidR="00517155">
              <w:rPr>
                <w:color w:val="000000"/>
                <w:spacing w:val="-2"/>
                <w:sz w:val="22"/>
                <w:szCs w:val="22"/>
              </w:rPr>
              <w:t>Radą Dialogi Społecznego w Rolnictwie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Federacj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Branżowych Związków Producentów Rolnych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Rad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Izb Rolniczych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Business Centre Club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Federacj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Konsumentów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, F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ederacj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Związków Kółek i Organizacji Rolniczych RP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Federacj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Związków Pracodawców-Dzierżawców i Właścicieli Rolnych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Forum Związków Zawodowych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proofErr w:type="spellStart"/>
            <w:r w:rsidR="00D8283B">
              <w:rPr>
                <w:color w:val="000000"/>
                <w:spacing w:val="-2"/>
                <w:sz w:val="22"/>
                <w:szCs w:val="22"/>
              </w:rPr>
              <w:t>Konsorcujm</w:t>
            </w:r>
            <w:proofErr w:type="spellEnd"/>
            <w:r w:rsidR="00D8283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8283B">
              <w:rPr>
                <w:color w:val="000000"/>
                <w:spacing w:val="-2"/>
                <w:sz w:val="22"/>
                <w:szCs w:val="22"/>
              </w:rPr>
              <w:t>Appolonia</w:t>
            </w:r>
            <w:proofErr w:type="spellEnd"/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Federacj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Producentów Zbóż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Sekcj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Pracowników Ochrony Roślin przy Zarządzie Głównym Związku Zawodowego Pracowników Rolnictwa w RP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ym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Zrzeszenie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Producentów Rzepaku i Roślin Białkowych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Grup Producentów Rolnych - Izba Gospodarcza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Plantatorów Buraka Cukrowego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Plantatorów Chmielu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Plantatorów Tytoniu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Rewizyjny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Rolniczych Spółdzielni Produkcyjnych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Rolników, Kółek i Organizacji Rolniczych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Krajowy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Grup Producentów Owoców i Warzyw - Spółdzielnia Osób Prawnych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Niezależny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Samorządny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Zawodowy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Rolników Indywidualnych "Solidarność"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, Ogólnopolskim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Porozumienie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 Związków Zawodowych,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Ogólnopolski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Producentów Warzyw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, Polską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Izb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Nasienn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ą, P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Ogrodniczy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d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ucentów Kukurydzy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Producentów Roślin Zbożowych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Producentów Ziemniaków i Nasion Rolniczych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Pszczelarski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Zawodowy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Rolników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S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Ochrony Roślin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Pracowników Dezynsekcji, Deratyzacji i Dezynfekcji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Rad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ą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Dialogu Społecznego w Rolnictwie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Sekretariat Rolnictwa Komisji Krajowej NSZZ „Solidarność”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Naukowo-Techniczne Inżynierów i Techników Rolnictwa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Polski Ziemniak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Polskich Szkółkarzy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Polskich Producentów Środków Ochrony Roślin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Stowarzyszenie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Sadowników Polskich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,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Rzemiosła Polskiego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Sadowników Rzeczpospolitej Polskiej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Szkółkarzy Polskich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Zawodowy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Rolników Rzeczpospolitej „Solidarni”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Zawodowy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Rolnictwa "Samoobrona"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Związk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Zawodowy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Rolników "Ojczyzna"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Centralny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Ośrodk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iem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Badania Odmian Roślin Uprawnych,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Centrum Doradztwa Rolniczego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Badawczy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 Leśnictwa,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Ochrony Roślin – Państwowy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Badawczy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Ochrony Środowiska – Państwowy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Badawczy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em Ogrodnictwa w Skierniewicach,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Uprawy Nawożenia i Gleboznawstwa –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lastRenderedPageBreak/>
              <w:t>Państwowy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Badawczy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m,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Instytut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Włókien N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 xml:space="preserve">aturalnych i Roślin Zielarskich, 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>Polski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m</w:t>
            </w:r>
            <w:r w:rsidR="00D8283B" w:rsidRPr="00680BBC">
              <w:rPr>
                <w:color w:val="000000"/>
                <w:spacing w:val="-2"/>
                <w:sz w:val="22"/>
                <w:szCs w:val="22"/>
              </w:rPr>
              <w:t xml:space="preserve"> Towarzystw</w:t>
            </w:r>
            <w:r w:rsidR="00D8283B">
              <w:rPr>
                <w:color w:val="000000"/>
                <w:spacing w:val="-2"/>
                <w:sz w:val="22"/>
                <w:szCs w:val="22"/>
              </w:rPr>
              <w:t>em Ochrony Roślin.</w:t>
            </w:r>
          </w:p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Projekt rozporządzenia zostanie udostępniony w Biuletynie Informacji Publicznej na stronie podmiotowej Rządowego Centrum Legislacji. </w:t>
            </w:r>
          </w:p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Czas trwania konsultacji będzie uwzględniał zapisy art. 19 ust. 2 ustawy z dnia 23 maja 1991 r. o związkach zawodowych (który stanowi, iż organy władzy i administracji rządowej oraz organy samorządu terytorialnego kierują założenia albo projekty aktów prawnych, do odpowiednich władz statutowych związku, określając termin przedstawienia opinii nie krótszy jednak niż 30 dni; termin ten może zostać skrócony do 21 dni ze względu na ważny interes publiczny; skrócenie terminu wymaga szczególnego uzasadnienia).</w:t>
            </w:r>
          </w:p>
        </w:tc>
      </w:tr>
      <w:tr w:rsidR="0099226E" w:rsidRPr="00B678AC" w:rsidTr="00AC6C9A">
        <w:trPr>
          <w:trHeight w:val="363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99226E" w:rsidRPr="00B678AC" w:rsidTr="003F660C">
        <w:trPr>
          <w:trHeight w:val="142"/>
        </w:trPr>
        <w:tc>
          <w:tcPr>
            <w:tcW w:w="2066" w:type="dxa"/>
            <w:gridSpan w:val="2"/>
            <w:vMerge w:val="restart"/>
            <w:shd w:val="clear" w:color="auto" w:fill="FFFFFF"/>
          </w:tcPr>
          <w:p w:rsidR="0099226E" w:rsidRPr="00B678AC" w:rsidRDefault="0099226E" w:rsidP="00AC6C9A">
            <w:pPr>
              <w:spacing w:before="40" w:after="40"/>
              <w:rPr>
                <w:i/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57" w:type="dxa"/>
            <w:gridSpan w:val="23"/>
            <w:shd w:val="clear" w:color="auto" w:fill="FFFFFF"/>
          </w:tcPr>
          <w:p w:rsidR="0099226E" w:rsidRPr="00B678AC" w:rsidRDefault="0099226E" w:rsidP="00AC6C9A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3F660C" w:rsidRPr="00B678AC" w:rsidTr="003F660C">
        <w:trPr>
          <w:trHeight w:val="142"/>
        </w:trPr>
        <w:tc>
          <w:tcPr>
            <w:tcW w:w="2066" w:type="dxa"/>
            <w:gridSpan w:val="2"/>
            <w:vMerge/>
            <w:shd w:val="clear" w:color="auto" w:fill="FFFFFF"/>
          </w:tcPr>
          <w:p w:rsidR="0099226E" w:rsidRPr="00B678AC" w:rsidRDefault="0099226E" w:rsidP="00AC6C9A">
            <w:pPr>
              <w:spacing w:before="40" w:after="40" w:line="240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0</w:t>
            </w:r>
          </w:p>
          <w:p w:rsidR="0099226E" w:rsidRPr="00B678AC" w:rsidRDefault="0099226E" w:rsidP="003F660C">
            <w:pPr>
              <w:spacing w:line="240" w:lineRule="auto"/>
              <w:ind w:left="-65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1</w:t>
            </w:r>
          </w:p>
          <w:p w:rsidR="0099226E" w:rsidRPr="00B678AC" w:rsidRDefault="0099226E" w:rsidP="003F660C">
            <w:pPr>
              <w:spacing w:line="240" w:lineRule="auto"/>
              <w:ind w:left="-66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</w:t>
            </w:r>
          </w:p>
          <w:p w:rsidR="0099226E" w:rsidRPr="00B678AC" w:rsidRDefault="0099226E" w:rsidP="003F660C">
            <w:pPr>
              <w:spacing w:line="240" w:lineRule="auto"/>
              <w:ind w:left="-94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3</w:t>
            </w:r>
          </w:p>
          <w:p w:rsidR="0099226E" w:rsidRPr="00B678AC" w:rsidRDefault="0099226E" w:rsidP="003F660C">
            <w:pPr>
              <w:spacing w:line="240" w:lineRule="auto"/>
              <w:ind w:left="-66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4</w:t>
            </w:r>
          </w:p>
          <w:p w:rsidR="0099226E" w:rsidRPr="00B678AC" w:rsidRDefault="0099226E" w:rsidP="003F660C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5</w:t>
            </w:r>
          </w:p>
          <w:p w:rsidR="0099226E" w:rsidRPr="00B678AC" w:rsidRDefault="0099226E" w:rsidP="003F660C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6</w:t>
            </w:r>
          </w:p>
          <w:p w:rsidR="0099226E" w:rsidRPr="00B678AC" w:rsidRDefault="0099226E" w:rsidP="003F660C">
            <w:pPr>
              <w:spacing w:line="240" w:lineRule="auto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7</w:t>
            </w:r>
          </w:p>
          <w:p w:rsidR="0099226E" w:rsidRPr="00B678AC" w:rsidRDefault="0099226E" w:rsidP="003F660C">
            <w:pPr>
              <w:spacing w:line="240" w:lineRule="auto"/>
              <w:ind w:left="-66" w:right="-8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8</w:t>
            </w:r>
          </w:p>
          <w:p w:rsidR="0099226E" w:rsidRPr="00B678AC" w:rsidRDefault="0099226E" w:rsidP="003F660C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9</w:t>
            </w:r>
          </w:p>
          <w:p w:rsidR="0099226E" w:rsidRPr="00B678AC" w:rsidRDefault="0099226E" w:rsidP="003F660C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10</w:t>
            </w:r>
          </w:p>
          <w:p w:rsidR="0099226E" w:rsidRPr="00B678AC" w:rsidRDefault="0099226E" w:rsidP="003F660C">
            <w:pPr>
              <w:spacing w:line="240" w:lineRule="auto"/>
              <w:ind w:left="-90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3F660C">
            <w:pPr>
              <w:spacing w:before="40" w:after="40" w:line="240" w:lineRule="auto"/>
              <w:ind w:left="-94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3F660C" w:rsidRPr="00B678AC" w:rsidTr="003F660C">
        <w:trPr>
          <w:trHeight w:val="321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21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44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44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30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cantSplit/>
          <w:trHeight w:val="404"/>
        </w:trPr>
        <w:tc>
          <w:tcPr>
            <w:tcW w:w="2066" w:type="dxa"/>
            <w:gridSpan w:val="2"/>
            <w:vMerge w:val="restart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budżet państwa: </w:t>
            </w:r>
          </w:p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cantSplit/>
          <w:trHeight w:val="424"/>
        </w:trPr>
        <w:tc>
          <w:tcPr>
            <w:tcW w:w="2066" w:type="dxa"/>
            <w:gridSpan w:val="2"/>
            <w:vMerge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51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JST 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51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60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60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57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JST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60C" w:rsidRPr="00B678AC" w:rsidTr="003F660C">
        <w:trPr>
          <w:trHeight w:val="357"/>
        </w:trPr>
        <w:tc>
          <w:tcPr>
            <w:tcW w:w="2066" w:type="dxa"/>
            <w:gridSpan w:val="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612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348"/>
        </w:trPr>
        <w:tc>
          <w:tcPr>
            <w:tcW w:w="2227" w:type="dxa"/>
            <w:gridSpan w:val="3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7696" w:type="dxa"/>
            <w:gridSpan w:val="2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1326"/>
        </w:trPr>
        <w:tc>
          <w:tcPr>
            <w:tcW w:w="2227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7696" w:type="dxa"/>
            <w:gridSpan w:val="2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Projektowane rozporządzenie nie powoduje skutków dla budżetu państwa, ani jednostek samorządu terytorialnego. </w:t>
            </w:r>
          </w:p>
        </w:tc>
      </w:tr>
      <w:tr w:rsidR="0099226E" w:rsidRPr="00B678AC" w:rsidTr="00AC6C9A">
        <w:trPr>
          <w:trHeight w:val="345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B678AC">
              <w:rPr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99226E" w:rsidRPr="00B678AC" w:rsidTr="003F660C">
        <w:trPr>
          <w:trHeight w:val="142"/>
        </w:trPr>
        <w:tc>
          <w:tcPr>
            <w:tcW w:w="3870" w:type="dxa"/>
            <w:gridSpan w:val="8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375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6" w:type="dxa"/>
            <w:gridSpan w:val="6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center"/>
              <w:rPr>
                <w:i/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B678AC" w:rsidDel="0073273A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B678AC">
              <w:rPr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:rsidR="0099226E" w:rsidRPr="00B678AC" w:rsidRDefault="0099226E" w:rsidP="00AC6C9A">
            <w:pPr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W ujęciu pieniężnym</w:t>
            </w:r>
          </w:p>
          <w:p w:rsidR="0099226E" w:rsidRPr="00B678AC" w:rsidRDefault="0099226E" w:rsidP="00AC6C9A">
            <w:pPr>
              <w:rPr>
                <w:spacing w:val="-2"/>
                <w:sz w:val="22"/>
                <w:szCs w:val="22"/>
              </w:rPr>
            </w:pPr>
            <w:r w:rsidRPr="00B678AC">
              <w:rPr>
                <w:spacing w:val="-2"/>
                <w:sz w:val="22"/>
                <w:szCs w:val="22"/>
              </w:rPr>
              <w:t xml:space="preserve">(w mln zł, </w:t>
            </w:r>
          </w:p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2647" w:type="dxa"/>
            <w:gridSpan w:val="11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6" w:type="dxa"/>
            <w:gridSpan w:val="6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2647" w:type="dxa"/>
            <w:gridSpan w:val="11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6" w:type="dxa"/>
            <w:gridSpan w:val="6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2647" w:type="dxa"/>
            <w:gridSpan w:val="11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6" w:type="dxa"/>
            <w:gridSpan w:val="6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osoby niepełnosprawne i </w:t>
            </w:r>
            <w:r w:rsidRPr="00B678AC">
              <w:rPr>
                <w:color w:val="000000"/>
                <w:sz w:val="22"/>
                <w:szCs w:val="22"/>
              </w:rPr>
              <w:lastRenderedPageBreak/>
              <w:t>osoby starsze</w:t>
            </w:r>
          </w:p>
        </w:tc>
        <w:tc>
          <w:tcPr>
            <w:tcW w:w="375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426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9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6" w:type="dxa"/>
            <w:gridSpan w:val="6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6053" w:type="dxa"/>
            <w:gridSpan w:val="1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Brak. Projektowane regulacje nie mają znaczenia dla konkurencyjności gospodarki i przedsiębiorczości. </w:t>
            </w:r>
          </w:p>
        </w:tc>
      </w:tr>
      <w:tr w:rsidR="0099226E" w:rsidRPr="00B678AC" w:rsidTr="003F660C">
        <w:trPr>
          <w:trHeight w:val="142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053" w:type="dxa"/>
            <w:gridSpan w:val="1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Brak. Projektowane regulacje nie mają znaczenia dla konkurencyjności gospodarki i przedsiębiorczości.</w:t>
            </w:r>
          </w:p>
        </w:tc>
      </w:tr>
      <w:tr w:rsidR="0099226E" w:rsidRPr="00B678AC" w:rsidTr="003F660C">
        <w:trPr>
          <w:trHeight w:val="596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tabs>
                <w:tab w:val="right" w:pos="1936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sz w:val="22"/>
                <w:szCs w:val="22"/>
              </w:rPr>
              <w:t>rodzina, obywatele oraz gospodarstwa domowe</w:t>
            </w:r>
            <w:r w:rsidRPr="00B678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53" w:type="dxa"/>
            <w:gridSpan w:val="17"/>
            <w:shd w:val="clear" w:color="auto" w:fill="FFFFFF"/>
          </w:tcPr>
          <w:p w:rsidR="0099226E" w:rsidRPr="00B678AC" w:rsidRDefault="003F660C" w:rsidP="003F660C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Projektowane rozporządzenie nie będzie miało bezpośredniego wpływu na sytuację społeczną i ekonomiczną rodziny.</w:t>
            </w:r>
          </w:p>
        </w:tc>
      </w:tr>
      <w:tr w:rsidR="0099226E" w:rsidRPr="00B678AC" w:rsidTr="003F660C">
        <w:trPr>
          <w:trHeight w:val="596"/>
        </w:trPr>
        <w:tc>
          <w:tcPr>
            <w:tcW w:w="1588" w:type="dxa"/>
            <w:vMerge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osoby niepełnosprawne i osoby starsze</w:t>
            </w:r>
          </w:p>
        </w:tc>
        <w:tc>
          <w:tcPr>
            <w:tcW w:w="6053" w:type="dxa"/>
            <w:gridSpan w:val="17"/>
            <w:shd w:val="clear" w:color="auto" w:fill="FFFFFF"/>
          </w:tcPr>
          <w:p w:rsidR="0099226E" w:rsidRPr="00B678AC" w:rsidRDefault="003F660C" w:rsidP="003F660C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Projektowane rozporządzenie nie będzie miało bezpośredniego wpływu na sytuację społeczną i ekonomiczną osób niepełnosprawnych oraz sytuację osób starszych.</w:t>
            </w:r>
          </w:p>
        </w:tc>
      </w:tr>
      <w:tr w:rsidR="0099226E" w:rsidRPr="00B678AC" w:rsidTr="003F660C">
        <w:trPr>
          <w:trHeight w:val="233"/>
        </w:trPr>
        <w:tc>
          <w:tcPr>
            <w:tcW w:w="1588" w:type="dxa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82" w:type="dxa"/>
            <w:gridSpan w:val="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53" w:type="dxa"/>
            <w:gridSpan w:val="17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99226E" w:rsidRPr="00B678AC" w:rsidTr="003F660C">
        <w:trPr>
          <w:trHeight w:val="771"/>
        </w:trPr>
        <w:tc>
          <w:tcPr>
            <w:tcW w:w="2227" w:type="dxa"/>
            <w:gridSpan w:val="3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7696" w:type="dxa"/>
            <w:gridSpan w:val="2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Projektowane regulacje nie mają wpływu na działalność przedsiębiorców. </w:t>
            </w:r>
            <w:r w:rsidRPr="00B678AC">
              <w:rPr>
                <w:color w:val="000000"/>
                <w:sz w:val="22"/>
                <w:szCs w:val="22"/>
              </w:rPr>
              <w:t>Tym samym projektowane rozporządzenie nie jest sprzeczne z przepisami ustawy z dnia 6 marca 2018 r. – Prawo przedsiębiorców (Dz. U. poz. 646, 1479, 1629, 1633 i 2212).</w:t>
            </w:r>
          </w:p>
        </w:tc>
      </w:tr>
      <w:tr w:rsidR="0099226E" w:rsidRPr="00B678AC" w:rsidTr="00AC6C9A">
        <w:trPr>
          <w:trHeight w:val="342"/>
        </w:trPr>
        <w:tc>
          <w:tcPr>
            <w:tcW w:w="9923" w:type="dxa"/>
            <w:gridSpan w:val="25"/>
            <w:shd w:val="clear" w:color="auto" w:fill="99CCFF"/>
            <w:vAlign w:val="center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99226E" w:rsidRPr="00B678AC" w:rsidTr="00AC6C9A">
        <w:trPr>
          <w:trHeight w:val="151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0998347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nie dotyczy</w:t>
            </w:r>
          </w:p>
        </w:tc>
      </w:tr>
      <w:tr w:rsidR="0099226E" w:rsidRPr="00B678AC" w:rsidTr="00040561">
        <w:trPr>
          <w:trHeight w:val="814"/>
        </w:trPr>
        <w:tc>
          <w:tcPr>
            <w:tcW w:w="4671" w:type="dxa"/>
            <w:gridSpan w:val="12"/>
            <w:shd w:val="clear" w:color="auto" w:fill="FFFFFF"/>
          </w:tcPr>
          <w:p w:rsidR="0099226E" w:rsidRPr="00B678AC" w:rsidRDefault="0099226E" w:rsidP="003F660C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B678AC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252" w:type="dxa"/>
            <w:gridSpan w:val="13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01432790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tak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774005171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nie</w:t>
            </w:r>
          </w:p>
          <w:p w:rsidR="0099226E" w:rsidRPr="00B678AC" w:rsidRDefault="000C1A4D" w:rsidP="00AC6C9A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51533669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99226E" w:rsidRPr="00B678AC" w:rsidTr="00040561">
        <w:trPr>
          <w:trHeight w:val="1083"/>
        </w:trPr>
        <w:tc>
          <w:tcPr>
            <w:tcW w:w="4671" w:type="dxa"/>
            <w:gridSpan w:val="12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46118103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zmniejszenie liczby dokumentów 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6505849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zmniejszenie liczby procedur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2051990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skrócenie czasu na załatwienie sprawy</w:t>
            </w:r>
          </w:p>
          <w:p w:rsidR="0099226E" w:rsidRPr="00B678AC" w:rsidRDefault="000C1A4D" w:rsidP="00AC6C9A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12540246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99226E" w:rsidRPr="00B678AC">
              <w:rPr>
                <w:color w:val="000000"/>
                <w:sz w:val="22"/>
                <w:szCs w:val="22"/>
              </w:rPr>
              <w:t xml:space="preserve"> …</w:t>
            </w:r>
          </w:p>
        </w:tc>
        <w:tc>
          <w:tcPr>
            <w:tcW w:w="5252" w:type="dxa"/>
            <w:gridSpan w:val="13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4995084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zwiększenie liczby dokumentów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94247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1578548801"/>
                  </w:sdtPr>
                  <w:sdtEndPr/>
                  <w:sdtContent>
                    <w:r w:rsidR="0099226E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zwiększenie liczby procedur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57036351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wydłużenie czasu na załatwienie sprawy</w:t>
            </w:r>
          </w:p>
          <w:p w:rsidR="0099226E" w:rsidRPr="00B678AC" w:rsidRDefault="000C1A4D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49557140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926072360"/>
                  </w:sdtPr>
                  <w:sdtEndPr/>
                  <w:sdtContent>
                    <w:r w:rsidR="0099226E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  <w:r w:rsidR="0099226E" w:rsidRPr="00B678AC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99226E" w:rsidRPr="00B678AC" w:rsidTr="003F660C">
        <w:trPr>
          <w:trHeight w:val="870"/>
        </w:trPr>
        <w:tc>
          <w:tcPr>
            <w:tcW w:w="4671" w:type="dxa"/>
            <w:gridSpan w:val="12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252" w:type="dxa"/>
            <w:gridSpan w:val="13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297268939"/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-1045518378"/>
                  </w:sdtPr>
                  <w:sdtEndPr/>
                  <w:sdtContent>
                    <w:r w:rsidR="00517155" w:rsidRPr="00B678AC">
                      <w:rPr>
                        <w:rFonts w:ascii="MS Gothic" w:eastAsia="MS Gothic" w:hAnsi="MS Gothic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tak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7021666"/>
              </w:sdtPr>
              <w:sdtEndPr/>
              <w:sdtContent>
                <w:r w:rsidR="00517155" w:rsidRPr="00B678A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17155" w:rsidRPr="00B678AC">
              <w:rPr>
                <w:color w:val="000000"/>
                <w:sz w:val="22"/>
                <w:szCs w:val="22"/>
              </w:rPr>
              <w:t xml:space="preserve"> </w:t>
            </w:r>
            <w:r w:rsidR="0099226E" w:rsidRPr="00B678AC">
              <w:rPr>
                <w:color w:val="000000"/>
                <w:sz w:val="22"/>
                <w:szCs w:val="22"/>
              </w:rPr>
              <w:t>nie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04862519"/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1011110242"/>
                  </w:sdtPr>
                  <w:sdtEndPr/>
                  <w:sdtContent>
                    <w:r w:rsidR="00517155" w:rsidRPr="00B678AC">
                      <w:rPr>
                        <w:rFonts w:ascii="MS Gothic" w:eastAsia="MS Gothic" w:hAnsi="MS Gothic" w:hint="eastAsia"/>
                        <w:color w:val="000000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99226E" w:rsidRPr="00B678AC" w:rsidTr="003F660C">
        <w:trPr>
          <w:trHeight w:val="27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 xml:space="preserve">Projektowane rozporządzenie nie wprowadza obciążeń regulacyjnych na obywateli lub przedsiębiorców.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auto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Projektowane rozporządzenie nie ma bezpośredniego wpływu na rynek pracy.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99226E" w:rsidRPr="00B678AC" w:rsidTr="003F660C">
        <w:trPr>
          <w:trHeight w:val="911"/>
        </w:trPr>
        <w:tc>
          <w:tcPr>
            <w:tcW w:w="3528" w:type="dxa"/>
            <w:gridSpan w:val="7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6595268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1162429870"/>
                  </w:sdtPr>
                  <w:sdtEndPr/>
                  <w:sdtContent>
                    <w:r w:rsidR="0099226E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</w:t>
            </w:r>
            <w:r w:rsidR="0099226E" w:rsidRPr="00B678AC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8878532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-1993781156"/>
                  </w:sdtPr>
                  <w:sdtEndPr/>
                  <w:sdtContent>
                    <w:r w:rsidR="0099226E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sytuacja i rozwój regionalny</w:t>
            </w:r>
          </w:p>
          <w:p w:rsidR="0099226E" w:rsidRPr="00B678AC" w:rsidRDefault="000C1A4D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66884454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542332527"/>
                  </w:sdtPr>
                  <w:sdtEndPr/>
                  <w:sdtContent>
                    <w:r w:rsidR="0099226E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inne:</w:t>
            </w:r>
          </w:p>
        </w:tc>
        <w:tc>
          <w:tcPr>
            <w:tcW w:w="3687" w:type="dxa"/>
            <w:gridSpan w:val="14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170861332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demografia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0503991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2708" w:type="dxa"/>
            <w:gridSpan w:val="4"/>
            <w:shd w:val="clear" w:color="auto" w:fill="FFFFFF"/>
          </w:tcPr>
          <w:p w:rsidR="0099226E" w:rsidRPr="00B678AC" w:rsidRDefault="000C1A4D" w:rsidP="00AC6C9A">
            <w:pPr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85042436"/>
              </w:sdtPr>
              <w:sdtEndPr/>
              <w:sdtContent>
                <w:r w:rsidR="0099226E" w:rsidRPr="00B678AC">
                  <w:rPr>
                    <w:rFonts w:ascii="MS Gothic" w:eastAsia="MS Gothic" w:hAnsi="MS Gothic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informatyzacja</w:t>
            </w:r>
          </w:p>
          <w:p w:rsidR="0099226E" w:rsidRPr="00B678AC" w:rsidRDefault="000C1A4D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0105530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  <w:sz w:val="22"/>
                      <w:szCs w:val="22"/>
                    </w:rPr>
                    <w:id w:val="586733642"/>
                  </w:sdtPr>
                  <w:sdtEndPr/>
                  <w:sdtContent>
                    <w:r w:rsidR="003F660C" w:rsidRPr="00B678AC">
                      <w:rPr>
                        <w:rFonts w:ascii="MS Gothic" w:eastAsia="MS Gothic" w:hAnsi="MS Gothic" w:hint="eastAsia"/>
                        <w:color w:val="000000"/>
                        <w:spacing w:val="-2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9226E" w:rsidRPr="00B678AC">
              <w:rPr>
                <w:color w:val="000000"/>
                <w:spacing w:val="-2"/>
                <w:sz w:val="22"/>
                <w:szCs w:val="22"/>
              </w:rPr>
              <w:t xml:space="preserve"> zdrowie</w:t>
            </w:r>
          </w:p>
        </w:tc>
      </w:tr>
      <w:tr w:rsidR="0099226E" w:rsidRPr="00B678AC" w:rsidTr="003F660C">
        <w:trPr>
          <w:trHeight w:val="244"/>
        </w:trPr>
        <w:tc>
          <w:tcPr>
            <w:tcW w:w="2227" w:type="dxa"/>
            <w:gridSpan w:val="3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678AC"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7696" w:type="dxa"/>
            <w:gridSpan w:val="22"/>
            <w:shd w:val="clear" w:color="auto" w:fill="FFFFFF"/>
            <w:vAlign w:val="center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 w:rsidRPr="00B678AC">
              <w:rPr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 w:rsidRPr="00B678AC">
              <w:rPr>
                <w:spacing w:val="-2"/>
                <w:sz w:val="22"/>
                <w:szCs w:val="22"/>
              </w:rPr>
              <w:t>Rozwiązanie problemu wskazanego w pkt 1 nastąpi w dniu wejścia w życie projektowanego rozporządzenia.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678A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78AC">
              <w:rPr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 xml:space="preserve">Funkcjonowanie projektowanych przepisów będzie oceniane w sposób bieżący. 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99CCFF"/>
          </w:tcPr>
          <w:p w:rsidR="0099226E" w:rsidRPr="00B678AC" w:rsidRDefault="0099226E" w:rsidP="0099226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B678AC">
              <w:rPr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B678AC">
              <w:rPr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99226E" w:rsidRPr="00B678AC" w:rsidTr="00AC6C9A">
        <w:trPr>
          <w:trHeight w:val="142"/>
        </w:trPr>
        <w:tc>
          <w:tcPr>
            <w:tcW w:w="9923" w:type="dxa"/>
            <w:gridSpan w:val="25"/>
            <w:shd w:val="clear" w:color="auto" w:fill="FFFFFF"/>
          </w:tcPr>
          <w:p w:rsidR="0099226E" w:rsidRPr="00B678AC" w:rsidRDefault="0099226E" w:rsidP="00AC6C9A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B678AC">
              <w:rPr>
                <w:color w:val="000000"/>
                <w:spacing w:val="-2"/>
                <w:sz w:val="22"/>
                <w:szCs w:val="22"/>
              </w:rPr>
              <w:t>Brak.</w:t>
            </w:r>
          </w:p>
        </w:tc>
      </w:tr>
    </w:tbl>
    <w:p w:rsidR="008A254A" w:rsidRDefault="008A254A" w:rsidP="008A254A">
      <w:pPr>
        <w:pStyle w:val="Akapitzlist"/>
        <w:ind w:left="709"/>
        <w:jc w:val="both"/>
        <w:rPr>
          <w:sz w:val="22"/>
          <w:szCs w:val="22"/>
        </w:rPr>
      </w:pPr>
    </w:p>
    <w:sectPr w:rsidR="008A254A" w:rsidSect="003F43E7">
      <w:headerReference w:type="default" r:id="rId10"/>
      <w:footnotePr>
        <w:numRestart w:val="eachSect"/>
      </w:footnotePr>
      <w:pgSz w:w="11906" w:h="16838"/>
      <w:pgMar w:top="1135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4D" w:rsidRDefault="000C1A4D">
      <w:r>
        <w:separator/>
      </w:r>
    </w:p>
  </w:endnote>
  <w:endnote w:type="continuationSeparator" w:id="0">
    <w:p w:rsidR="000C1A4D" w:rsidRDefault="000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4D" w:rsidRDefault="000C1A4D">
      <w:r>
        <w:separator/>
      </w:r>
    </w:p>
  </w:footnote>
  <w:footnote w:type="continuationSeparator" w:id="0">
    <w:p w:rsidR="000C1A4D" w:rsidRDefault="000C1A4D">
      <w:r>
        <w:continuationSeparator/>
      </w:r>
    </w:p>
  </w:footnote>
  <w:footnote w:id="1">
    <w:p w:rsidR="007E4156" w:rsidRPr="0067767F" w:rsidRDefault="007E4156" w:rsidP="0067767F">
      <w:pPr>
        <w:pStyle w:val="ODNONIKtreodnonika"/>
      </w:pPr>
      <w:r w:rsidRPr="0067767F">
        <w:rPr>
          <w:rStyle w:val="Odwoanieprzypisudolnego"/>
          <w:szCs w:val="18"/>
        </w:rPr>
        <w:footnoteRef/>
      </w:r>
      <w:r w:rsidRPr="0067767F">
        <w:rPr>
          <w:rStyle w:val="IGindeksgrny"/>
          <w:rFonts w:cs="Times New Roman"/>
          <w:szCs w:val="18"/>
        </w:rPr>
        <w:t xml:space="preserve">) </w:t>
      </w:r>
      <w:r w:rsidRPr="0067767F">
        <w:tab/>
        <w:t>Minister Rolnictwa i Rozwoju Wsi kieruje działem administracji rządowej – rolnictwo, na podstawie § 1 ust. 2 pkt 1 rozporządzenia Prezesa Rady Ministrów z dnia 18 listopada 2019 r. w sprawie szczegółowego zakresu działania Ministra Rolnictwa i Rozwoju Wsi (Dz. U. poz. 2258).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56" w:rsidRPr="00B371CC" w:rsidRDefault="007E415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7A1B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5A2A"/>
    <w:multiLevelType w:val="hybridMultilevel"/>
    <w:tmpl w:val="7A5810AA"/>
    <w:lvl w:ilvl="0" w:tplc="C10C68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B874975"/>
    <w:multiLevelType w:val="hybridMultilevel"/>
    <w:tmpl w:val="C7B28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A5597"/>
    <w:multiLevelType w:val="hybridMultilevel"/>
    <w:tmpl w:val="44526B12"/>
    <w:lvl w:ilvl="0" w:tplc="C10C68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2ECA6824">
      <w:start w:val="1"/>
      <w:numFmt w:val="lowerLetter"/>
      <w:lvlText w:val="%2)"/>
      <w:lvlJc w:val="left"/>
      <w:pPr>
        <w:ind w:left="15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0FA2"/>
    <w:multiLevelType w:val="hybridMultilevel"/>
    <w:tmpl w:val="E8D2864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28C03EB"/>
    <w:multiLevelType w:val="hybridMultilevel"/>
    <w:tmpl w:val="40B6D97A"/>
    <w:lvl w:ilvl="0" w:tplc="0FBAB92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4492CDB"/>
    <w:multiLevelType w:val="hybridMultilevel"/>
    <w:tmpl w:val="225EF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26E4A"/>
    <w:multiLevelType w:val="hybridMultilevel"/>
    <w:tmpl w:val="9CCA6D42"/>
    <w:lvl w:ilvl="0" w:tplc="C10C68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ED814AF"/>
    <w:multiLevelType w:val="hybridMultilevel"/>
    <w:tmpl w:val="6BEE2236"/>
    <w:lvl w:ilvl="0" w:tplc="C10C68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0054314"/>
    <w:multiLevelType w:val="hybridMultilevel"/>
    <w:tmpl w:val="A79A5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9"/>
    <w:rsid w:val="000012DA"/>
    <w:rsid w:val="0000246E"/>
    <w:rsid w:val="00003862"/>
    <w:rsid w:val="00011498"/>
    <w:rsid w:val="00012A35"/>
    <w:rsid w:val="00016099"/>
    <w:rsid w:val="00017DC2"/>
    <w:rsid w:val="00021522"/>
    <w:rsid w:val="00021D6B"/>
    <w:rsid w:val="0002269A"/>
    <w:rsid w:val="00023471"/>
    <w:rsid w:val="00023EE9"/>
    <w:rsid w:val="00023F13"/>
    <w:rsid w:val="000241D7"/>
    <w:rsid w:val="00025FFA"/>
    <w:rsid w:val="00030634"/>
    <w:rsid w:val="000319C1"/>
    <w:rsid w:val="00031A8B"/>
    <w:rsid w:val="00031BCA"/>
    <w:rsid w:val="000330FA"/>
    <w:rsid w:val="0003362F"/>
    <w:rsid w:val="00034852"/>
    <w:rsid w:val="00036B63"/>
    <w:rsid w:val="00037E1A"/>
    <w:rsid w:val="00040561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049"/>
    <w:rsid w:val="00066901"/>
    <w:rsid w:val="00070C87"/>
    <w:rsid w:val="00071BEE"/>
    <w:rsid w:val="000736CD"/>
    <w:rsid w:val="00074085"/>
    <w:rsid w:val="0007533B"/>
    <w:rsid w:val="0007545D"/>
    <w:rsid w:val="000760BF"/>
    <w:rsid w:val="0007613E"/>
    <w:rsid w:val="00076BFC"/>
    <w:rsid w:val="00076D41"/>
    <w:rsid w:val="000814A7"/>
    <w:rsid w:val="0008557B"/>
    <w:rsid w:val="00085CE7"/>
    <w:rsid w:val="000906EE"/>
    <w:rsid w:val="00091BA2"/>
    <w:rsid w:val="000944EF"/>
    <w:rsid w:val="0009732D"/>
    <w:rsid w:val="000973F0"/>
    <w:rsid w:val="000A07DC"/>
    <w:rsid w:val="000A1296"/>
    <w:rsid w:val="000A1C27"/>
    <w:rsid w:val="000A1DAD"/>
    <w:rsid w:val="000A2649"/>
    <w:rsid w:val="000A323B"/>
    <w:rsid w:val="000A4A4B"/>
    <w:rsid w:val="000B298D"/>
    <w:rsid w:val="000B5B2D"/>
    <w:rsid w:val="000B5DCE"/>
    <w:rsid w:val="000C05BA"/>
    <w:rsid w:val="000C0E8F"/>
    <w:rsid w:val="000C1A4D"/>
    <w:rsid w:val="000C4BC4"/>
    <w:rsid w:val="000D0110"/>
    <w:rsid w:val="000D2468"/>
    <w:rsid w:val="000D318A"/>
    <w:rsid w:val="000D6173"/>
    <w:rsid w:val="000D6F83"/>
    <w:rsid w:val="000E25CC"/>
    <w:rsid w:val="000E3694"/>
    <w:rsid w:val="000E3D4C"/>
    <w:rsid w:val="000E490F"/>
    <w:rsid w:val="000E6241"/>
    <w:rsid w:val="000E64AD"/>
    <w:rsid w:val="000F08A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DA9"/>
    <w:rsid w:val="001209EC"/>
    <w:rsid w:val="00120A9E"/>
    <w:rsid w:val="00125A9C"/>
    <w:rsid w:val="00126895"/>
    <w:rsid w:val="001270A2"/>
    <w:rsid w:val="001274A4"/>
    <w:rsid w:val="00131237"/>
    <w:rsid w:val="001329AC"/>
    <w:rsid w:val="00134CA0"/>
    <w:rsid w:val="0014026F"/>
    <w:rsid w:val="00145EB4"/>
    <w:rsid w:val="00147A47"/>
    <w:rsid w:val="00147AA1"/>
    <w:rsid w:val="001520CF"/>
    <w:rsid w:val="0015667C"/>
    <w:rsid w:val="00157110"/>
    <w:rsid w:val="0015742A"/>
    <w:rsid w:val="00157DA1"/>
    <w:rsid w:val="0016311D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416"/>
    <w:rsid w:val="00180F2A"/>
    <w:rsid w:val="00182ABC"/>
    <w:rsid w:val="0018342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16C"/>
    <w:rsid w:val="001A7F15"/>
    <w:rsid w:val="001B0BD2"/>
    <w:rsid w:val="001B342E"/>
    <w:rsid w:val="001C1832"/>
    <w:rsid w:val="001C188C"/>
    <w:rsid w:val="001D08CB"/>
    <w:rsid w:val="001D1783"/>
    <w:rsid w:val="001D31A6"/>
    <w:rsid w:val="001D320B"/>
    <w:rsid w:val="001D3702"/>
    <w:rsid w:val="001D37B2"/>
    <w:rsid w:val="001D53CD"/>
    <w:rsid w:val="001D55A3"/>
    <w:rsid w:val="001D5AF5"/>
    <w:rsid w:val="001E1E73"/>
    <w:rsid w:val="001E3A2E"/>
    <w:rsid w:val="001E4B4C"/>
    <w:rsid w:val="001E4E0C"/>
    <w:rsid w:val="001E526D"/>
    <w:rsid w:val="001E5655"/>
    <w:rsid w:val="001F0A39"/>
    <w:rsid w:val="001F1832"/>
    <w:rsid w:val="001F220F"/>
    <w:rsid w:val="001F25B3"/>
    <w:rsid w:val="001F6616"/>
    <w:rsid w:val="002022A4"/>
    <w:rsid w:val="00202BD4"/>
    <w:rsid w:val="00204A97"/>
    <w:rsid w:val="00205633"/>
    <w:rsid w:val="002114EF"/>
    <w:rsid w:val="0021451B"/>
    <w:rsid w:val="0021518F"/>
    <w:rsid w:val="002166AD"/>
    <w:rsid w:val="00217871"/>
    <w:rsid w:val="00220102"/>
    <w:rsid w:val="00221ED8"/>
    <w:rsid w:val="002231EA"/>
    <w:rsid w:val="00223FDF"/>
    <w:rsid w:val="0022476B"/>
    <w:rsid w:val="002279C0"/>
    <w:rsid w:val="0023727E"/>
    <w:rsid w:val="00240C21"/>
    <w:rsid w:val="00242081"/>
    <w:rsid w:val="00242E78"/>
    <w:rsid w:val="00243777"/>
    <w:rsid w:val="002441CD"/>
    <w:rsid w:val="002501A3"/>
    <w:rsid w:val="0025166C"/>
    <w:rsid w:val="00252D5C"/>
    <w:rsid w:val="002555D4"/>
    <w:rsid w:val="00256CCC"/>
    <w:rsid w:val="00261A16"/>
    <w:rsid w:val="00263522"/>
    <w:rsid w:val="00264EC6"/>
    <w:rsid w:val="00271013"/>
    <w:rsid w:val="00273FE4"/>
    <w:rsid w:val="002765B4"/>
    <w:rsid w:val="00276A94"/>
    <w:rsid w:val="00276F30"/>
    <w:rsid w:val="0029405D"/>
    <w:rsid w:val="00294FA6"/>
    <w:rsid w:val="00295A6F"/>
    <w:rsid w:val="002A20C4"/>
    <w:rsid w:val="002A3B84"/>
    <w:rsid w:val="002A570F"/>
    <w:rsid w:val="002A693A"/>
    <w:rsid w:val="002A7292"/>
    <w:rsid w:val="002A7358"/>
    <w:rsid w:val="002A7902"/>
    <w:rsid w:val="002B031F"/>
    <w:rsid w:val="002B0F6B"/>
    <w:rsid w:val="002B1033"/>
    <w:rsid w:val="002B23B8"/>
    <w:rsid w:val="002B4429"/>
    <w:rsid w:val="002B68A6"/>
    <w:rsid w:val="002B7FAF"/>
    <w:rsid w:val="002C1232"/>
    <w:rsid w:val="002D0C4F"/>
    <w:rsid w:val="002D1364"/>
    <w:rsid w:val="002D4D30"/>
    <w:rsid w:val="002D5000"/>
    <w:rsid w:val="002D598D"/>
    <w:rsid w:val="002D7188"/>
    <w:rsid w:val="002E1DE3"/>
    <w:rsid w:val="002E2AB6"/>
    <w:rsid w:val="002E32CC"/>
    <w:rsid w:val="002E3F34"/>
    <w:rsid w:val="002E5F79"/>
    <w:rsid w:val="002E64FA"/>
    <w:rsid w:val="002F03B7"/>
    <w:rsid w:val="002F0A00"/>
    <w:rsid w:val="002F0CFA"/>
    <w:rsid w:val="002F12DD"/>
    <w:rsid w:val="002F5B7F"/>
    <w:rsid w:val="002F669F"/>
    <w:rsid w:val="00301C97"/>
    <w:rsid w:val="0030663A"/>
    <w:rsid w:val="0031004C"/>
    <w:rsid w:val="003105F6"/>
    <w:rsid w:val="00311297"/>
    <w:rsid w:val="003113BE"/>
    <w:rsid w:val="003122CA"/>
    <w:rsid w:val="003148FD"/>
    <w:rsid w:val="00321080"/>
    <w:rsid w:val="00321F57"/>
    <w:rsid w:val="00322D45"/>
    <w:rsid w:val="00323876"/>
    <w:rsid w:val="0032569A"/>
    <w:rsid w:val="00325A1F"/>
    <w:rsid w:val="003268F9"/>
    <w:rsid w:val="00330BAF"/>
    <w:rsid w:val="00332779"/>
    <w:rsid w:val="00334E3A"/>
    <w:rsid w:val="003361DD"/>
    <w:rsid w:val="00341A6A"/>
    <w:rsid w:val="00345B9C"/>
    <w:rsid w:val="00352DAE"/>
    <w:rsid w:val="00353678"/>
    <w:rsid w:val="00354EB9"/>
    <w:rsid w:val="003602AE"/>
    <w:rsid w:val="00360929"/>
    <w:rsid w:val="003647D5"/>
    <w:rsid w:val="00366E36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A33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48F"/>
    <w:rsid w:val="003B4A57"/>
    <w:rsid w:val="003B6086"/>
    <w:rsid w:val="003C0AD9"/>
    <w:rsid w:val="003C0ED0"/>
    <w:rsid w:val="003C1D49"/>
    <w:rsid w:val="003C35C4"/>
    <w:rsid w:val="003C7324"/>
    <w:rsid w:val="003D06AA"/>
    <w:rsid w:val="003D06BC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D0F"/>
    <w:rsid w:val="003F43E7"/>
    <w:rsid w:val="003F5BAE"/>
    <w:rsid w:val="003F660C"/>
    <w:rsid w:val="003F6ED7"/>
    <w:rsid w:val="004006FC"/>
    <w:rsid w:val="00401C84"/>
    <w:rsid w:val="00403210"/>
    <w:rsid w:val="004035BB"/>
    <w:rsid w:val="004035EB"/>
    <w:rsid w:val="00405AE5"/>
    <w:rsid w:val="00407332"/>
    <w:rsid w:val="00407828"/>
    <w:rsid w:val="00413D8E"/>
    <w:rsid w:val="004140F2"/>
    <w:rsid w:val="00417B22"/>
    <w:rsid w:val="00417EE4"/>
    <w:rsid w:val="00421085"/>
    <w:rsid w:val="00423BE3"/>
    <w:rsid w:val="0042465E"/>
    <w:rsid w:val="00424DF7"/>
    <w:rsid w:val="00425E14"/>
    <w:rsid w:val="00432B76"/>
    <w:rsid w:val="00432F6D"/>
    <w:rsid w:val="00434D01"/>
    <w:rsid w:val="00435D26"/>
    <w:rsid w:val="00440C99"/>
    <w:rsid w:val="0044175C"/>
    <w:rsid w:val="00445F4D"/>
    <w:rsid w:val="004469F2"/>
    <w:rsid w:val="00447A1B"/>
    <w:rsid w:val="004504C0"/>
    <w:rsid w:val="004550FB"/>
    <w:rsid w:val="004556A4"/>
    <w:rsid w:val="00460475"/>
    <w:rsid w:val="0046111A"/>
    <w:rsid w:val="00462946"/>
    <w:rsid w:val="00463F43"/>
    <w:rsid w:val="00464B94"/>
    <w:rsid w:val="004653A8"/>
    <w:rsid w:val="00465A0B"/>
    <w:rsid w:val="0046704E"/>
    <w:rsid w:val="0047077C"/>
    <w:rsid w:val="00470B05"/>
    <w:rsid w:val="0047207C"/>
    <w:rsid w:val="00472CD6"/>
    <w:rsid w:val="00474E3C"/>
    <w:rsid w:val="00480A58"/>
    <w:rsid w:val="00482151"/>
    <w:rsid w:val="00483186"/>
    <w:rsid w:val="00485FAD"/>
    <w:rsid w:val="00487AED"/>
    <w:rsid w:val="00491EDF"/>
    <w:rsid w:val="00492A3F"/>
    <w:rsid w:val="00493E09"/>
    <w:rsid w:val="00494F62"/>
    <w:rsid w:val="004A2001"/>
    <w:rsid w:val="004A3590"/>
    <w:rsid w:val="004B00A7"/>
    <w:rsid w:val="004B1C3D"/>
    <w:rsid w:val="004B25E2"/>
    <w:rsid w:val="004B34D7"/>
    <w:rsid w:val="004B5037"/>
    <w:rsid w:val="004B5A35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911"/>
    <w:rsid w:val="004F089E"/>
    <w:rsid w:val="004F1F4A"/>
    <w:rsid w:val="004F296D"/>
    <w:rsid w:val="004F508B"/>
    <w:rsid w:val="004F695F"/>
    <w:rsid w:val="004F6CA4"/>
    <w:rsid w:val="004F6F5B"/>
    <w:rsid w:val="00500752"/>
    <w:rsid w:val="00501A50"/>
    <w:rsid w:val="005020A9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5D19"/>
    <w:rsid w:val="00517155"/>
    <w:rsid w:val="00526DFC"/>
    <w:rsid w:val="00526F43"/>
    <w:rsid w:val="00527651"/>
    <w:rsid w:val="0053269F"/>
    <w:rsid w:val="00535163"/>
    <w:rsid w:val="005363AB"/>
    <w:rsid w:val="00544EF4"/>
    <w:rsid w:val="00545E53"/>
    <w:rsid w:val="005479D9"/>
    <w:rsid w:val="005543DF"/>
    <w:rsid w:val="005572BD"/>
    <w:rsid w:val="00557A12"/>
    <w:rsid w:val="00560AC7"/>
    <w:rsid w:val="00561AFB"/>
    <w:rsid w:val="00561FA8"/>
    <w:rsid w:val="005635ED"/>
    <w:rsid w:val="005650D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61C"/>
    <w:rsid w:val="005B56EF"/>
    <w:rsid w:val="005B5CB2"/>
    <w:rsid w:val="005B665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08B"/>
    <w:rsid w:val="00615772"/>
    <w:rsid w:val="006160E8"/>
    <w:rsid w:val="006166FE"/>
    <w:rsid w:val="00621256"/>
    <w:rsid w:val="00621FCC"/>
    <w:rsid w:val="00622E4B"/>
    <w:rsid w:val="006333DA"/>
    <w:rsid w:val="00634CE4"/>
    <w:rsid w:val="00635134"/>
    <w:rsid w:val="006356E2"/>
    <w:rsid w:val="00636768"/>
    <w:rsid w:val="00642A65"/>
    <w:rsid w:val="00645721"/>
    <w:rsid w:val="00645DCE"/>
    <w:rsid w:val="006465AC"/>
    <w:rsid w:val="006465BF"/>
    <w:rsid w:val="00652EA2"/>
    <w:rsid w:val="006538EE"/>
    <w:rsid w:val="00653B22"/>
    <w:rsid w:val="00657BF4"/>
    <w:rsid w:val="00657CF9"/>
    <w:rsid w:val="006603FB"/>
    <w:rsid w:val="006608DF"/>
    <w:rsid w:val="0066200C"/>
    <w:rsid w:val="006623AC"/>
    <w:rsid w:val="006678AF"/>
    <w:rsid w:val="006701EF"/>
    <w:rsid w:val="00673BA5"/>
    <w:rsid w:val="006766CF"/>
    <w:rsid w:val="0067767F"/>
    <w:rsid w:val="00680058"/>
    <w:rsid w:val="00681F9F"/>
    <w:rsid w:val="006840EA"/>
    <w:rsid w:val="006844E2"/>
    <w:rsid w:val="00684738"/>
    <w:rsid w:val="00684B3E"/>
    <w:rsid w:val="00685267"/>
    <w:rsid w:val="006862F7"/>
    <w:rsid w:val="006872AE"/>
    <w:rsid w:val="00690082"/>
    <w:rsid w:val="00690252"/>
    <w:rsid w:val="006946BB"/>
    <w:rsid w:val="006969FA"/>
    <w:rsid w:val="006A2037"/>
    <w:rsid w:val="006A35D5"/>
    <w:rsid w:val="006A3D08"/>
    <w:rsid w:val="006A748A"/>
    <w:rsid w:val="006B5D43"/>
    <w:rsid w:val="006C31A2"/>
    <w:rsid w:val="006C419E"/>
    <w:rsid w:val="006C4A31"/>
    <w:rsid w:val="006C5AC2"/>
    <w:rsid w:val="006C6AFB"/>
    <w:rsid w:val="006D2735"/>
    <w:rsid w:val="006D45B2"/>
    <w:rsid w:val="006D5EAB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99C"/>
    <w:rsid w:val="007151B6"/>
    <w:rsid w:val="0071520D"/>
    <w:rsid w:val="00715EDB"/>
    <w:rsid w:val="007160D5"/>
    <w:rsid w:val="007163FB"/>
    <w:rsid w:val="00717C2E"/>
    <w:rsid w:val="007202E5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719"/>
    <w:rsid w:val="00746E38"/>
    <w:rsid w:val="00747CD5"/>
    <w:rsid w:val="00753B51"/>
    <w:rsid w:val="00756629"/>
    <w:rsid w:val="00757378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6C8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30B"/>
    <w:rsid w:val="007B435F"/>
    <w:rsid w:val="007B584F"/>
    <w:rsid w:val="007B75BC"/>
    <w:rsid w:val="007C03B1"/>
    <w:rsid w:val="007C0BD6"/>
    <w:rsid w:val="007C3806"/>
    <w:rsid w:val="007C5BB7"/>
    <w:rsid w:val="007D07D5"/>
    <w:rsid w:val="007D1C64"/>
    <w:rsid w:val="007D32DD"/>
    <w:rsid w:val="007D5383"/>
    <w:rsid w:val="007D6DCE"/>
    <w:rsid w:val="007D72C4"/>
    <w:rsid w:val="007E2CFE"/>
    <w:rsid w:val="007E4156"/>
    <w:rsid w:val="007E4CE5"/>
    <w:rsid w:val="007E59C9"/>
    <w:rsid w:val="007F0072"/>
    <w:rsid w:val="007F271B"/>
    <w:rsid w:val="007F2EB6"/>
    <w:rsid w:val="007F3907"/>
    <w:rsid w:val="007F54C3"/>
    <w:rsid w:val="00802949"/>
    <w:rsid w:val="0080301E"/>
    <w:rsid w:val="0080365F"/>
    <w:rsid w:val="00805D1A"/>
    <w:rsid w:val="00812BE5"/>
    <w:rsid w:val="00817429"/>
    <w:rsid w:val="00821514"/>
    <w:rsid w:val="00821E35"/>
    <w:rsid w:val="008221D1"/>
    <w:rsid w:val="00824591"/>
    <w:rsid w:val="00824AED"/>
    <w:rsid w:val="00827820"/>
    <w:rsid w:val="00831B8B"/>
    <w:rsid w:val="0083405D"/>
    <w:rsid w:val="00834D1A"/>
    <w:rsid w:val="008352D4"/>
    <w:rsid w:val="008359D6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616"/>
    <w:rsid w:val="0086018B"/>
    <w:rsid w:val="008611DD"/>
    <w:rsid w:val="008620DE"/>
    <w:rsid w:val="00863170"/>
    <w:rsid w:val="00866867"/>
    <w:rsid w:val="008673C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15"/>
    <w:rsid w:val="00894F19"/>
    <w:rsid w:val="00895DB3"/>
    <w:rsid w:val="00896A10"/>
    <w:rsid w:val="008971B5"/>
    <w:rsid w:val="008A0484"/>
    <w:rsid w:val="008A254A"/>
    <w:rsid w:val="008A5D26"/>
    <w:rsid w:val="008A6A54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92B"/>
    <w:rsid w:val="008D4C7D"/>
    <w:rsid w:val="008E171D"/>
    <w:rsid w:val="008E2785"/>
    <w:rsid w:val="008E78A3"/>
    <w:rsid w:val="008E7B52"/>
    <w:rsid w:val="008E7D54"/>
    <w:rsid w:val="008F0599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204"/>
    <w:rsid w:val="00911A5E"/>
    <w:rsid w:val="00912889"/>
    <w:rsid w:val="00913A42"/>
    <w:rsid w:val="00914167"/>
    <w:rsid w:val="009143DB"/>
    <w:rsid w:val="00915065"/>
    <w:rsid w:val="00917CE5"/>
    <w:rsid w:val="009217C0"/>
    <w:rsid w:val="009244E2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01C"/>
    <w:rsid w:val="00956812"/>
    <w:rsid w:val="0095719A"/>
    <w:rsid w:val="009623E9"/>
    <w:rsid w:val="00963EEB"/>
    <w:rsid w:val="009648BC"/>
    <w:rsid w:val="00964C2F"/>
    <w:rsid w:val="00965F84"/>
    <w:rsid w:val="00965F88"/>
    <w:rsid w:val="00973F52"/>
    <w:rsid w:val="00984E03"/>
    <w:rsid w:val="00987E85"/>
    <w:rsid w:val="0099226E"/>
    <w:rsid w:val="00996D1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540"/>
    <w:rsid w:val="009C4444"/>
    <w:rsid w:val="009C79AD"/>
    <w:rsid w:val="009C7CA6"/>
    <w:rsid w:val="009D079E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711"/>
    <w:rsid w:val="00A06D34"/>
    <w:rsid w:val="00A07938"/>
    <w:rsid w:val="00A079C1"/>
    <w:rsid w:val="00A12520"/>
    <w:rsid w:val="00A130FD"/>
    <w:rsid w:val="00A13D6D"/>
    <w:rsid w:val="00A14769"/>
    <w:rsid w:val="00A16151"/>
    <w:rsid w:val="00A16EC6"/>
    <w:rsid w:val="00A17BF0"/>
    <w:rsid w:val="00A17C06"/>
    <w:rsid w:val="00A20C0E"/>
    <w:rsid w:val="00A2126E"/>
    <w:rsid w:val="00A21706"/>
    <w:rsid w:val="00A22D65"/>
    <w:rsid w:val="00A24FCC"/>
    <w:rsid w:val="00A25D7B"/>
    <w:rsid w:val="00A26A90"/>
    <w:rsid w:val="00A26B27"/>
    <w:rsid w:val="00A30E4F"/>
    <w:rsid w:val="00A32253"/>
    <w:rsid w:val="00A3310E"/>
    <w:rsid w:val="00A333A0"/>
    <w:rsid w:val="00A37E70"/>
    <w:rsid w:val="00A437E1"/>
    <w:rsid w:val="00A4445D"/>
    <w:rsid w:val="00A4685E"/>
    <w:rsid w:val="00A50CD4"/>
    <w:rsid w:val="00A51191"/>
    <w:rsid w:val="00A51650"/>
    <w:rsid w:val="00A5500E"/>
    <w:rsid w:val="00A56D62"/>
    <w:rsid w:val="00A56F07"/>
    <w:rsid w:val="00A5762C"/>
    <w:rsid w:val="00A600FC"/>
    <w:rsid w:val="00A60BCA"/>
    <w:rsid w:val="00A6304D"/>
    <w:rsid w:val="00A638DA"/>
    <w:rsid w:val="00A65B41"/>
    <w:rsid w:val="00A65E00"/>
    <w:rsid w:val="00A66A78"/>
    <w:rsid w:val="00A71924"/>
    <w:rsid w:val="00A7436E"/>
    <w:rsid w:val="00A74E96"/>
    <w:rsid w:val="00A75A8E"/>
    <w:rsid w:val="00A77462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F8F"/>
    <w:rsid w:val="00AC31B5"/>
    <w:rsid w:val="00AC4EA1"/>
    <w:rsid w:val="00AC5381"/>
    <w:rsid w:val="00AC5920"/>
    <w:rsid w:val="00AC6C9A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443"/>
    <w:rsid w:val="00B006E5"/>
    <w:rsid w:val="00B024C2"/>
    <w:rsid w:val="00B05464"/>
    <w:rsid w:val="00B07700"/>
    <w:rsid w:val="00B12035"/>
    <w:rsid w:val="00B13921"/>
    <w:rsid w:val="00B1528C"/>
    <w:rsid w:val="00B158E0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1ED"/>
    <w:rsid w:val="00B45FBC"/>
    <w:rsid w:val="00B51A7D"/>
    <w:rsid w:val="00B535C2"/>
    <w:rsid w:val="00B55544"/>
    <w:rsid w:val="00B642FC"/>
    <w:rsid w:val="00B6442F"/>
    <w:rsid w:val="00B64D26"/>
    <w:rsid w:val="00B64FBB"/>
    <w:rsid w:val="00B65563"/>
    <w:rsid w:val="00B678AC"/>
    <w:rsid w:val="00B70E22"/>
    <w:rsid w:val="00B76BE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5FB"/>
    <w:rsid w:val="00BA561A"/>
    <w:rsid w:val="00BA56E5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BD5"/>
    <w:rsid w:val="00BD1040"/>
    <w:rsid w:val="00BD34AA"/>
    <w:rsid w:val="00BD3D56"/>
    <w:rsid w:val="00BE0C44"/>
    <w:rsid w:val="00BE1B8B"/>
    <w:rsid w:val="00BE2A18"/>
    <w:rsid w:val="00BE2C01"/>
    <w:rsid w:val="00BE41EC"/>
    <w:rsid w:val="00BE56FB"/>
    <w:rsid w:val="00BF3DDE"/>
    <w:rsid w:val="00BF511E"/>
    <w:rsid w:val="00BF6589"/>
    <w:rsid w:val="00BF6F7F"/>
    <w:rsid w:val="00C00647"/>
    <w:rsid w:val="00C00BBF"/>
    <w:rsid w:val="00C02764"/>
    <w:rsid w:val="00C04CEF"/>
    <w:rsid w:val="00C0662F"/>
    <w:rsid w:val="00C072AA"/>
    <w:rsid w:val="00C0769B"/>
    <w:rsid w:val="00C11943"/>
    <w:rsid w:val="00C12E96"/>
    <w:rsid w:val="00C14763"/>
    <w:rsid w:val="00C16141"/>
    <w:rsid w:val="00C1636A"/>
    <w:rsid w:val="00C2363F"/>
    <w:rsid w:val="00C236C8"/>
    <w:rsid w:val="00C260B1"/>
    <w:rsid w:val="00C26E56"/>
    <w:rsid w:val="00C31406"/>
    <w:rsid w:val="00C32FC1"/>
    <w:rsid w:val="00C37194"/>
    <w:rsid w:val="00C37DD3"/>
    <w:rsid w:val="00C40637"/>
    <w:rsid w:val="00C40F6C"/>
    <w:rsid w:val="00C438F4"/>
    <w:rsid w:val="00C44426"/>
    <w:rsid w:val="00C445F3"/>
    <w:rsid w:val="00C451F4"/>
    <w:rsid w:val="00C45EB1"/>
    <w:rsid w:val="00C45EFB"/>
    <w:rsid w:val="00C54A3A"/>
    <w:rsid w:val="00C55566"/>
    <w:rsid w:val="00C55F37"/>
    <w:rsid w:val="00C56448"/>
    <w:rsid w:val="00C667BE"/>
    <w:rsid w:val="00C6766B"/>
    <w:rsid w:val="00C72223"/>
    <w:rsid w:val="00C76417"/>
    <w:rsid w:val="00C7726F"/>
    <w:rsid w:val="00C823DA"/>
    <w:rsid w:val="00C82443"/>
    <w:rsid w:val="00C8259F"/>
    <w:rsid w:val="00C82746"/>
    <w:rsid w:val="00C8312F"/>
    <w:rsid w:val="00C84C47"/>
    <w:rsid w:val="00C853E1"/>
    <w:rsid w:val="00C858A4"/>
    <w:rsid w:val="00C86AFA"/>
    <w:rsid w:val="00CB06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78F"/>
    <w:rsid w:val="00D029B8"/>
    <w:rsid w:val="00D02F60"/>
    <w:rsid w:val="00D0464E"/>
    <w:rsid w:val="00D04A96"/>
    <w:rsid w:val="00D07A7B"/>
    <w:rsid w:val="00D10069"/>
    <w:rsid w:val="00D10E06"/>
    <w:rsid w:val="00D15197"/>
    <w:rsid w:val="00D16820"/>
    <w:rsid w:val="00D169C8"/>
    <w:rsid w:val="00D1793F"/>
    <w:rsid w:val="00D21711"/>
    <w:rsid w:val="00D22AF5"/>
    <w:rsid w:val="00D235EA"/>
    <w:rsid w:val="00D247A9"/>
    <w:rsid w:val="00D30EA9"/>
    <w:rsid w:val="00D32721"/>
    <w:rsid w:val="00D328DC"/>
    <w:rsid w:val="00D33387"/>
    <w:rsid w:val="00D402FB"/>
    <w:rsid w:val="00D42AE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68B"/>
    <w:rsid w:val="00D8283B"/>
    <w:rsid w:val="00D848B9"/>
    <w:rsid w:val="00D90E69"/>
    <w:rsid w:val="00D91283"/>
    <w:rsid w:val="00D91368"/>
    <w:rsid w:val="00D914FA"/>
    <w:rsid w:val="00D93106"/>
    <w:rsid w:val="00D933E9"/>
    <w:rsid w:val="00D9505D"/>
    <w:rsid w:val="00D953D0"/>
    <w:rsid w:val="00D959F5"/>
    <w:rsid w:val="00D96884"/>
    <w:rsid w:val="00D972B9"/>
    <w:rsid w:val="00D97AED"/>
    <w:rsid w:val="00DA3FDD"/>
    <w:rsid w:val="00DA7017"/>
    <w:rsid w:val="00DA7028"/>
    <w:rsid w:val="00DB1AD2"/>
    <w:rsid w:val="00DB2B58"/>
    <w:rsid w:val="00DB38A7"/>
    <w:rsid w:val="00DB5206"/>
    <w:rsid w:val="00DB6276"/>
    <w:rsid w:val="00DB63F5"/>
    <w:rsid w:val="00DC1C6B"/>
    <w:rsid w:val="00DC2C2E"/>
    <w:rsid w:val="00DC4AF0"/>
    <w:rsid w:val="00DC7886"/>
    <w:rsid w:val="00DD0CF2"/>
    <w:rsid w:val="00DD1E02"/>
    <w:rsid w:val="00DD30B1"/>
    <w:rsid w:val="00DD536B"/>
    <w:rsid w:val="00DE1554"/>
    <w:rsid w:val="00DE2901"/>
    <w:rsid w:val="00DE590F"/>
    <w:rsid w:val="00DE7C42"/>
    <w:rsid w:val="00DE7DC1"/>
    <w:rsid w:val="00DF3F7E"/>
    <w:rsid w:val="00DF7648"/>
    <w:rsid w:val="00E00E29"/>
    <w:rsid w:val="00E021DD"/>
    <w:rsid w:val="00E02BAB"/>
    <w:rsid w:val="00E0473A"/>
    <w:rsid w:val="00E04CEB"/>
    <w:rsid w:val="00E060BC"/>
    <w:rsid w:val="00E11420"/>
    <w:rsid w:val="00E115AB"/>
    <w:rsid w:val="00E132FB"/>
    <w:rsid w:val="00E16A8B"/>
    <w:rsid w:val="00E170B7"/>
    <w:rsid w:val="00E177DD"/>
    <w:rsid w:val="00E20900"/>
    <w:rsid w:val="00E20C7F"/>
    <w:rsid w:val="00E2396E"/>
    <w:rsid w:val="00E24728"/>
    <w:rsid w:val="00E276AC"/>
    <w:rsid w:val="00E345A3"/>
    <w:rsid w:val="00E34A35"/>
    <w:rsid w:val="00E37C2F"/>
    <w:rsid w:val="00E41C28"/>
    <w:rsid w:val="00E41CE8"/>
    <w:rsid w:val="00E46308"/>
    <w:rsid w:val="00E51E17"/>
    <w:rsid w:val="00E52DAB"/>
    <w:rsid w:val="00E539B0"/>
    <w:rsid w:val="00E5568D"/>
    <w:rsid w:val="00E55994"/>
    <w:rsid w:val="00E60606"/>
    <w:rsid w:val="00E60C66"/>
    <w:rsid w:val="00E6164D"/>
    <w:rsid w:val="00E618C9"/>
    <w:rsid w:val="00E62774"/>
    <w:rsid w:val="00E6307C"/>
    <w:rsid w:val="00E636FA"/>
    <w:rsid w:val="00E665DE"/>
    <w:rsid w:val="00E66C50"/>
    <w:rsid w:val="00E679D3"/>
    <w:rsid w:val="00E71208"/>
    <w:rsid w:val="00E71444"/>
    <w:rsid w:val="00E71C91"/>
    <w:rsid w:val="00E720A1"/>
    <w:rsid w:val="00E75AC6"/>
    <w:rsid w:val="00E75DDA"/>
    <w:rsid w:val="00E76FD4"/>
    <w:rsid w:val="00E7700E"/>
    <w:rsid w:val="00E773E8"/>
    <w:rsid w:val="00E83ADD"/>
    <w:rsid w:val="00E84F38"/>
    <w:rsid w:val="00E85623"/>
    <w:rsid w:val="00E87441"/>
    <w:rsid w:val="00E91FAE"/>
    <w:rsid w:val="00E92907"/>
    <w:rsid w:val="00E93949"/>
    <w:rsid w:val="00E96E3F"/>
    <w:rsid w:val="00EA270C"/>
    <w:rsid w:val="00EA4974"/>
    <w:rsid w:val="00EA532E"/>
    <w:rsid w:val="00EB06D9"/>
    <w:rsid w:val="00EB113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1C41"/>
    <w:rsid w:val="00EE4737"/>
    <w:rsid w:val="00EE4BC8"/>
    <w:rsid w:val="00EF0B96"/>
    <w:rsid w:val="00EF3486"/>
    <w:rsid w:val="00EF47AF"/>
    <w:rsid w:val="00EF53B6"/>
    <w:rsid w:val="00EF6376"/>
    <w:rsid w:val="00EF6D7C"/>
    <w:rsid w:val="00F007EF"/>
    <w:rsid w:val="00F00B73"/>
    <w:rsid w:val="00F115CA"/>
    <w:rsid w:val="00F14817"/>
    <w:rsid w:val="00F14EBA"/>
    <w:rsid w:val="00F1510F"/>
    <w:rsid w:val="00F1533A"/>
    <w:rsid w:val="00F15BCF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4B70"/>
    <w:rsid w:val="00F458D8"/>
    <w:rsid w:val="00F50237"/>
    <w:rsid w:val="00F51FF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65E"/>
    <w:rsid w:val="00F75C3A"/>
    <w:rsid w:val="00F80BA6"/>
    <w:rsid w:val="00F82E30"/>
    <w:rsid w:val="00F831CB"/>
    <w:rsid w:val="00F848A3"/>
    <w:rsid w:val="00F84ACF"/>
    <w:rsid w:val="00F84C82"/>
    <w:rsid w:val="00F855C0"/>
    <w:rsid w:val="00F85742"/>
    <w:rsid w:val="00F85BF8"/>
    <w:rsid w:val="00F871CE"/>
    <w:rsid w:val="00F87802"/>
    <w:rsid w:val="00F9127B"/>
    <w:rsid w:val="00F92C0A"/>
    <w:rsid w:val="00F9415B"/>
    <w:rsid w:val="00FA13C2"/>
    <w:rsid w:val="00FA1C1D"/>
    <w:rsid w:val="00FA7F91"/>
    <w:rsid w:val="00FB121C"/>
    <w:rsid w:val="00FB1CDD"/>
    <w:rsid w:val="00FB2C2F"/>
    <w:rsid w:val="00FB305C"/>
    <w:rsid w:val="00FC2E3D"/>
    <w:rsid w:val="00FC31A8"/>
    <w:rsid w:val="00FC3BDE"/>
    <w:rsid w:val="00FD1DBE"/>
    <w:rsid w:val="00FD25A7"/>
    <w:rsid w:val="00FD27B6"/>
    <w:rsid w:val="00FD3689"/>
    <w:rsid w:val="00FD42A3"/>
    <w:rsid w:val="00FD488F"/>
    <w:rsid w:val="00FD5E3B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1D29F-9CC9-49D9-AC5E-A9E262A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7767F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6D5E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254A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8A254A"/>
  </w:style>
  <w:style w:type="character" w:customStyle="1" w:styleId="articletitle">
    <w:name w:val="articletitle"/>
    <w:basedOn w:val="Domylnaczcionkaakapitu"/>
    <w:rsid w:val="008A2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18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18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rzysztof.kielak@minrol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rek\Download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C52AB30C64F89BFAD06B94488E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93D6F-5BA3-4A47-B517-E69E6CE379FD}"/>
      </w:docPartPr>
      <w:docPartBody>
        <w:p w:rsidR="008A48CE" w:rsidRDefault="008A48CE" w:rsidP="008A48CE">
          <w:pPr>
            <w:pStyle w:val="B1CC52AB30C64F89BFAD06B94488E6C3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E"/>
    <w:rsid w:val="002B1988"/>
    <w:rsid w:val="003C741E"/>
    <w:rsid w:val="003C79EF"/>
    <w:rsid w:val="00416F1F"/>
    <w:rsid w:val="00421ACC"/>
    <w:rsid w:val="005F5468"/>
    <w:rsid w:val="00633F56"/>
    <w:rsid w:val="007A3E61"/>
    <w:rsid w:val="00874698"/>
    <w:rsid w:val="008A48CE"/>
    <w:rsid w:val="00AA7D1B"/>
    <w:rsid w:val="00B17150"/>
    <w:rsid w:val="00B67E93"/>
    <w:rsid w:val="00B7283B"/>
    <w:rsid w:val="00C327B4"/>
    <w:rsid w:val="00C52EBC"/>
    <w:rsid w:val="00CB6597"/>
    <w:rsid w:val="00CD6F31"/>
    <w:rsid w:val="00CD79D1"/>
    <w:rsid w:val="00DC7A03"/>
    <w:rsid w:val="00DE1A0A"/>
    <w:rsid w:val="00E6301E"/>
    <w:rsid w:val="00E84A44"/>
    <w:rsid w:val="00EA3E1B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8CE"/>
    <w:rPr>
      <w:color w:val="808080"/>
    </w:rPr>
  </w:style>
  <w:style w:type="paragraph" w:customStyle="1" w:styleId="B1CC52AB30C64F89BFAD06B94488E6C3">
    <w:name w:val="B1CC52AB30C64F89BFAD06B94488E6C3"/>
    <w:rsid w:val="008A4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994CA-9BF2-461A-82D4-9FB129D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2966</Words>
  <Characters>17799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Nurzyński Krzysztof</dc:creator>
  <cp:keywords/>
  <dc:description/>
  <cp:lastModifiedBy>Chromiak Iwona</cp:lastModifiedBy>
  <cp:revision>2</cp:revision>
  <cp:lastPrinted>2020-01-29T10:30:00Z</cp:lastPrinted>
  <dcterms:created xsi:type="dcterms:W3CDTF">2020-02-04T08:22:00Z</dcterms:created>
  <dcterms:modified xsi:type="dcterms:W3CDTF">2020-02-04T08:22:00Z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